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20697">
      <w:pPr>
        <w:pStyle w:val="7"/>
        <w:jc w:val="center"/>
        <w:outlineLvl w:val="1"/>
        <w:rPr>
          <w:rFonts w:hint="eastAsia" w:ascii="宋体" w:hAnsi="宋体" w:eastAsia="宋体" w:cs="宋体"/>
        </w:rPr>
      </w:pPr>
      <w:r>
        <w:rPr>
          <w:rFonts w:hint="eastAsia" w:ascii="宋体" w:hAnsi="宋体" w:eastAsia="宋体" w:cs="宋体"/>
          <w:b/>
          <w:sz w:val="36"/>
        </w:rPr>
        <w:t>第八章 拟签订采购合同文本</w:t>
      </w:r>
    </w:p>
    <w:p w14:paraId="2C879A75">
      <w:pPr>
        <w:adjustRightInd w:val="0"/>
        <w:snapToGrid w:val="0"/>
        <w:spacing w:line="420" w:lineRule="exact"/>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（本格式条款供采购人和成交供应商双方签订合同参考，最终以采购人实际签订的合同为准）</w:t>
      </w:r>
    </w:p>
    <w:p w14:paraId="66FD6B4F">
      <w:pPr>
        <w:spacing w:line="400" w:lineRule="exact"/>
        <w:jc w:val="left"/>
        <w:rPr>
          <w:rFonts w:hint="eastAsia" w:ascii="宋体" w:hAnsi="宋体" w:eastAsia="宋体" w:cs="宋体"/>
          <w:b/>
          <w:bCs w:val="0"/>
          <w:sz w:val="36"/>
          <w:szCs w:val="36"/>
        </w:rPr>
      </w:pPr>
    </w:p>
    <w:p w14:paraId="1801662C">
      <w:pPr>
        <w:spacing w:line="400" w:lineRule="exact"/>
        <w:jc w:val="left"/>
        <w:rPr>
          <w:rFonts w:hint="eastAsia" w:ascii="宋体" w:hAnsi="宋体" w:eastAsia="宋体" w:cs="宋体"/>
          <w:b/>
          <w:bCs w:val="0"/>
          <w:sz w:val="36"/>
          <w:szCs w:val="36"/>
        </w:rPr>
      </w:pPr>
      <w:r>
        <w:rPr>
          <w:rFonts w:hint="eastAsia" w:ascii="宋体" w:hAnsi="宋体" w:eastAsia="宋体" w:cs="宋体"/>
          <w:b/>
          <w:bCs w:val="0"/>
          <w:sz w:val="36"/>
          <w:szCs w:val="36"/>
        </w:rPr>
        <w:t>政府采购项目</w:t>
      </w:r>
    </w:p>
    <w:p w14:paraId="14E448CB">
      <w:pPr>
        <w:spacing w:line="360" w:lineRule="auto"/>
        <w:rPr>
          <w:rFonts w:hint="eastAsia" w:ascii="宋体" w:hAnsi="宋体" w:eastAsia="宋体" w:cs="宋体"/>
          <w:b/>
          <w:sz w:val="36"/>
          <w:szCs w:val="36"/>
        </w:rPr>
      </w:pPr>
    </w:p>
    <w:p w14:paraId="725A828D">
      <w:pPr>
        <w:pStyle w:val="8"/>
        <w:rPr>
          <w:rFonts w:hint="eastAsia" w:ascii="宋体" w:hAnsi="宋体" w:eastAsia="宋体" w:cs="宋体"/>
        </w:rPr>
      </w:pPr>
    </w:p>
    <w:p w14:paraId="557458F0">
      <w:pPr>
        <w:spacing w:line="560" w:lineRule="exact"/>
        <w:jc w:val="center"/>
        <w:rPr>
          <w:rFonts w:hint="eastAsia" w:ascii="宋体" w:hAnsi="宋体" w:eastAsia="宋体" w:cs="宋体"/>
          <w:b/>
          <w:bCs/>
          <w:sz w:val="44"/>
          <w:szCs w:val="44"/>
        </w:rPr>
      </w:pPr>
    </w:p>
    <w:p w14:paraId="4FEDBB3F">
      <w:pPr>
        <w:spacing w:line="560" w:lineRule="exact"/>
        <w:jc w:val="center"/>
        <w:rPr>
          <w:rFonts w:hint="eastAsia" w:ascii="宋体" w:hAnsi="宋体" w:eastAsia="宋体" w:cs="宋体"/>
          <w:sz w:val="56"/>
          <w:szCs w:val="56"/>
          <w:u w:val="none"/>
        </w:rPr>
      </w:pPr>
      <w:r>
        <w:rPr>
          <w:rFonts w:hint="eastAsia" w:ascii="宋体" w:hAnsi="宋体" w:eastAsia="宋体" w:cs="宋体"/>
          <w:sz w:val="44"/>
          <w:szCs w:val="52"/>
          <w:lang w:val="en-US" w:eastAsia="zh-CN"/>
        </w:rPr>
        <w:t>西安市中医医院</w:t>
      </w:r>
      <w:r>
        <w:rPr>
          <w:rFonts w:hint="eastAsia" w:ascii="宋体" w:hAnsi="宋体" w:eastAsia="宋体" w:cs="宋体"/>
          <w:sz w:val="44"/>
          <w:szCs w:val="52"/>
        </w:rPr>
        <w:t>院本部锅炉运行管理维护保养项目</w:t>
      </w:r>
    </w:p>
    <w:p w14:paraId="64126598">
      <w:pPr>
        <w:spacing w:line="560" w:lineRule="exact"/>
        <w:jc w:val="center"/>
        <w:rPr>
          <w:rFonts w:hint="eastAsia" w:ascii="宋体" w:hAnsi="宋体" w:eastAsia="宋体" w:cs="宋体"/>
          <w:b/>
          <w:bCs/>
          <w:sz w:val="44"/>
          <w:szCs w:val="44"/>
        </w:rPr>
      </w:pPr>
    </w:p>
    <w:p w14:paraId="7047224B">
      <w:pPr>
        <w:spacing w:line="560" w:lineRule="exact"/>
        <w:jc w:val="center"/>
        <w:rPr>
          <w:rFonts w:hint="eastAsia" w:ascii="宋体" w:hAnsi="宋体" w:eastAsia="宋体" w:cs="宋体"/>
          <w:sz w:val="44"/>
          <w:szCs w:val="44"/>
          <w:u w:val="none"/>
        </w:rPr>
      </w:pPr>
    </w:p>
    <w:p w14:paraId="65CF1666">
      <w:pPr>
        <w:spacing w:line="440" w:lineRule="exact"/>
        <w:ind w:firstLine="4200" w:firstLineChars="1500"/>
        <w:rPr>
          <w:rFonts w:hint="eastAsia" w:ascii="宋体" w:hAnsi="宋体" w:eastAsia="宋体" w:cs="宋体"/>
          <w:sz w:val="28"/>
          <w:szCs w:val="28"/>
        </w:rPr>
      </w:pPr>
    </w:p>
    <w:p w14:paraId="681ED4C3">
      <w:pPr>
        <w:spacing w:line="440" w:lineRule="exact"/>
        <w:ind w:firstLine="4200" w:firstLineChars="1500"/>
        <w:rPr>
          <w:rFonts w:hint="eastAsia" w:ascii="宋体" w:hAnsi="宋体" w:eastAsia="宋体" w:cs="宋体"/>
          <w:sz w:val="28"/>
          <w:szCs w:val="28"/>
        </w:rPr>
      </w:pPr>
    </w:p>
    <w:p w14:paraId="2A3E3A81">
      <w:pPr>
        <w:spacing w:line="440" w:lineRule="exact"/>
        <w:ind w:firstLine="3360" w:firstLineChars="1200"/>
        <w:rPr>
          <w:rFonts w:hint="eastAsia" w:ascii="宋体" w:hAnsi="宋体" w:eastAsia="宋体" w:cs="宋体"/>
          <w:sz w:val="28"/>
          <w:szCs w:val="28"/>
        </w:rPr>
      </w:pPr>
      <w:r>
        <w:rPr>
          <w:rFonts w:hint="eastAsia" w:ascii="宋体" w:hAnsi="宋体" w:eastAsia="宋体" w:cs="宋体"/>
          <w:sz w:val="28"/>
          <w:szCs w:val="28"/>
        </w:rPr>
        <w:t>（编号：）</w:t>
      </w:r>
    </w:p>
    <w:p w14:paraId="4A6799DD">
      <w:pPr>
        <w:spacing w:line="360" w:lineRule="auto"/>
        <w:jc w:val="center"/>
        <w:rPr>
          <w:rFonts w:hint="eastAsia" w:ascii="宋体" w:hAnsi="宋体" w:eastAsia="宋体" w:cs="宋体"/>
          <w:b/>
          <w:sz w:val="36"/>
          <w:szCs w:val="36"/>
        </w:rPr>
      </w:pPr>
    </w:p>
    <w:p w14:paraId="1564C249">
      <w:pPr>
        <w:spacing w:line="360" w:lineRule="auto"/>
        <w:jc w:val="center"/>
        <w:rPr>
          <w:rFonts w:hint="eastAsia" w:ascii="宋体" w:hAnsi="宋体" w:eastAsia="宋体" w:cs="宋体"/>
          <w:b/>
          <w:sz w:val="36"/>
          <w:szCs w:val="36"/>
        </w:rPr>
      </w:pPr>
    </w:p>
    <w:p w14:paraId="3313E14A">
      <w:pPr>
        <w:spacing w:line="420" w:lineRule="exact"/>
        <w:jc w:val="center"/>
        <w:rPr>
          <w:rFonts w:hint="eastAsia" w:ascii="宋体" w:hAnsi="宋体" w:eastAsia="宋体" w:cs="宋体"/>
          <w:sz w:val="24"/>
        </w:rPr>
      </w:pPr>
    </w:p>
    <w:p w14:paraId="05C80546">
      <w:pPr>
        <w:spacing w:line="420" w:lineRule="exact"/>
        <w:jc w:val="center"/>
        <w:rPr>
          <w:rFonts w:hint="eastAsia" w:ascii="宋体" w:hAnsi="宋体" w:eastAsia="宋体" w:cs="宋体"/>
          <w:sz w:val="24"/>
        </w:rPr>
      </w:pPr>
    </w:p>
    <w:p w14:paraId="058D7C18">
      <w:pPr>
        <w:pStyle w:val="8"/>
        <w:rPr>
          <w:rFonts w:hint="eastAsia" w:ascii="宋体" w:hAnsi="宋体" w:eastAsia="宋体" w:cs="宋体"/>
        </w:rPr>
      </w:pPr>
    </w:p>
    <w:p w14:paraId="56B9BB59">
      <w:pPr>
        <w:pStyle w:val="8"/>
        <w:rPr>
          <w:rFonts w:hint="eastAsia" w:ascii="宋体" w:hAnsi="宋体" w:eastAsia="宋体" w:cs="宋体"/>
        </w:rPr>
      </w:pPr>
    </w:p>
    <w:p w14:paraId="4C3A79BA">
      <w:pPr>
        <w:pStyle w:val="8"/>
        <w:rPr>
          <w:rFonts w:hint="eastAsia" w:ascii="宋体" w:hAnsi="宋体" w:eastAsia="宋体" w:cs="宋体"/>
        </w:rPr>
      </w:pPr>
    </w:p>
    <w:p w14:paraId="19C053AC">
      <w:pPr>
        <w:pStyle w:val="8"/>
        <w:rPr>
          <w:rFonts w:hint="eastAsia" w:ascii="宋体" w:hAnsi="宋体" w:eastAsia="宋体" w:cs="宋体"/>
        </w:rPr>
      </w:pPr>
    </w:p>
    <w:p w14:paraId="1FB7C07D">
      <w:pPr>
        <w:spacing w:line="540" w:lineRule="exact"/>
        <w:ind w:firstLine="3000" w:firstLineChars="1000"/>
        <w:rPr>
          <w:rFonts w:hint="eastAsia" w:ascii="宋体" w:hAnsi="宋体" w:eastAsia="宋体" w:cs="宋体"/>
          <w:sz w:val="30"/>
          <w:szCs w:val="30"/>
        </w:rPr>
      </w:pPr>
      <w:r>
        <w:rPr>
          <w:rFonts w:hint="eastAsia" w:ascii="宋体" w:hAnsi="宋体" w:eastAsia="宋体" w:cs="宋体"/>
          <w:sz w:val="30"/>
          <w:szCs w:val="30"/>
        </w:rPr>
        <w:t>甲  方：西安市中医医院</w:t>
      </w:r>
    </w:p>
    <w:p w14:paraId="5EA33885">
      <w:pPr>
        <w:spacing w:line="540" w:lineRule="exact"/>
        <w:ind w:firstLine="3000" w:firstLineChars="1000"/>
        <w:rPr>
          <w:rFonts w:hint="eastAsia" w:ascii="宋体" w:hAnsi="宋体" w:eastAsia="宋体" w:cs="宋体"/>
          <w:bCs/>
          <w:sz w:val="30"/>
          <w:szCs w:val="30"/>
        </w:rPr>
      </w:pPr>
      <w:r>
        <w:rPr>
          <w:rFonts w:hint="eastAsia" w:ascii="宋体" w:hAnsi="宋体" w:eastAsia="宋体" w:cs="宋体"/>
          <w:sz w:val="30"/>
          <w:szCs w:val="30"/>
        </w:rPr>
        <w:t>乙  方：</w:t>
      </w:r>
    </w:p>
    <w:p w14:paraId="0A09F11F">
      <w:pPr>
        <w:pStyle w:val="8"/>
        <w:rPr>
          <w:rFonts w:hint="eastAsia" w:ascii="宋体" w:hAnsi="宋体" w:eastAsia="宋体" w:cs="宋体"/>
        </w:rPr>
      </w:pPr>
    </w:p>
    <w:p w14:paraId="2CBDCF2F">
      <w:pPr>
        <w:pStyle w:val="8"/>
        <w:rPr>
          <w:rFonts w:hint="eastAsia" w:ascii="宋体" w:hAnsi="宋体" w:eastAsia="宋体" w:cs="宋体"/>
        </w:rPr>
      </w:pPr>
    </w:p>
    <w:p w14:paraId="691C4B14">
      <w:pPr>
        <w:spacing w:line="420" w:lineRule="exact"/>
        <w:ind w:firstLine="4200" w:firstLineChars="1400"/>
        <w:rPr>
          <w:rFonts w:hint="eastAsia" w:ascii="宋体" w:hAnsi="宋体" w:eastAsia="宋体" w:cs="宋体"/>
          <w:sz w:val="30"/>
          <w:szCs w:val="30"/>
        </w:rPr>
      </w:pPr>
      <w:r>
        <w:rPr>
          <w:rFonts w:hint="eastAsia" w:ascii="宋体" w:hAnsi="宋体" w:eastAsia="宋体" w:cs="宋体"/>
          <w:sz w:val="30"/>
          <w:szCs w:val="30"/>
        </w:rPr>
        <w:t>202</w:t>
      </w:r>
      <w:r>
        <w:rPr>
          <w:rFonts w:hint="eastAsia" w:ascii="宋体" w:hAnsi="宋体" w:eastAsia="宋体" w:cs="宋体"/>
          <w:sz w:val="30"/>
          <w:szCs w:val="30"/>
          <w:lang w:val="en-US" w:eastAsia="zh-CN"/>
        </w:rPr>
        <w:t>5</w:t>
      </w:r>
      <w:r>
        <w:rPr>
          <w:rFonts w:hint="eastAsia" w:ascii="宋体" w:hAnsi="宋体" w:eastAsia="宋体" w:cs="宋体"/>
          <w:sz w:val="30"/>
          <w:szCs w:val="30"/>
        </w:rPr>
        <w:t>年</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 xml:space="preserve">月  </w:t>
      </w:r>
    </w:p>
    <w:p w14:paraId="2FEC4524">
      <w:pPr>
        <w:spacing w:line="420" w:lineRule="exact"/>
        <w:ind w:firstLine="4200" w:firstLineChars="1400"/>
        <w:rPr>
          <w:rFonts w:hint="eastAsia" w:ascii="宋体" w:hAnsi="宋体" w:eastAsia="宋体" w:cs="宋体"/>
          <w:sz w:val="30"/>
          <w:szCs w:val="30"/>
        </w:rPr>
      </w:pPr>
      <w:r>
        <w:rPr>
          <w:rFonts w:hint="eastAsia" w:ascii="宋体" w:hAnsi="宋体" w:eastAsia="宋体" w:cs="宋体"/>
          <w:sz w:val="30"/>
          <w:szCs w:val="30"/>
        </w:rPr>
        <w:t>中国  西安</w:t>
      </w:r>
    </w:p>
    <w:p w14:paraId="6592B1CF">
      <w:pPr>
        <w:spacing w:line="420" w:lineRule="exact"/>
        <w:ind w:firstLine="4200" w:firstLineChars="1400"/>
        <w:rPr>
          <w:rFonts w:hint="eastAsia" w:ascii="宋体" w:hAnsi="宋体" w:eastAsia="宋体" w:cs="宋体"/>
          <w:sz w:val="30"/>
          <w:szCs w:val="30"/>
        </w:rPr>
      </w:pPr>
    </w:p>
    <w:p w14:paraId="65A3DA92">
      <w:pPr>
        <w:spacing w:line="420" w:lineRule="exact"/>
        <w:ind w:firstLine="3614" w:firstLineChars="1000"/>
        <w:rPr>
          <w:rFonts w:hint="eastAsia" w:ascii="宋体" w:hAnsi="宋体" w:eastAsia="宋体" w:cs="宋体"/>
          <w:b/>
          <w:bCs/>
          <w:kern w:val="2"/>
          <w:sz w:val="36"/>
          <w:szCs w:val="36"/>
          <w:u w:val="none"/>
          <w:lang w:val="en-US" w:eastAsia="zh-CN" w:bidi="ar-SA"/>
        </w:rPr>
      </w:pPr>
      <w:r>
        <w:rPr>
          <w:rFonts w:hint="eastAsia" w:ascii="宋体" w:hAnsi="宋体" w:eastAsia="宋体" w:cs="宋体"/>
          <w:b/>
          <w:bCs/>
          <w:kern w:val="2"/>
          <w:sz w:val="36"/>
          <w:szCs w:val="36"/>
          <w:u w:val="none"/>
          <w:lang w:val="en-US" w:eastAsia="zh-CN" w:bidi="ar-SA"/>
        </w:rPr>
        <w:t>政府采购合同</w:t>
      </w:r>
    </w:p>
    <w:p w14:paraId="7F1DB0DC">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甲方（采购人）：</w:t>
      </w:r>
    </w:p>
    <w:p w14:paraId="501B070D">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乙方（</w:t>
      </w:r>
      <w:r>
        <w:rPr>
          <w:rFonts w:hint="eastAsia" w:ascii="宋体" w:hAnsi="宋体" w:eastAsia="宋体" w:cs="宋体"/>
          <w:bCs/>
          <w:sz w:val="20"/>
          <w:szCs w:val="20"/>
          <w:lang w:val="en-US" w:eastAsia="zh-CN"/>
        </w:rPr>
        <w:t>成交</w:t>
      </w:r>
      <w:r>
        <w:rPr>
          <w:rFonts w:hint="eastAsia" w:ascii="宋体" w:hAnsi="宋体" w:eastAsia="宋体" w:cs="宋体"/>
          <w:bCs/>
          <w:sz w:val="20"/>
          <w:szCs w:val="20"/>
        </w:rPr>
        <w:t>人）：</w:t>
      </w:r>
    </w:p>
    <w:p w14:paraId="63A7A368">
      <w:pPr>
        <w:keepNext w:val="0"/>
        <w:keepLines w:val="0"/>
        <w:pageBreakBefore w:val="0"/>
        <w:widowControl w:val="0"/>
        <w:kinsoku/>
        <w:overflowPunct/>
        <w:topLinePunct w:val="0"/>
        <w:autoSpaceDE w:val="0"/>
        <w:autoSpaceDN w:val="0"/>
        <w:bidi w:val="0"/>
        <w:adjustRightInd w:val="0"/>
        <w:snapToGrid w:val="0"/>
        <w:spacing w:line="480" w:lineRule="exact"/>
        <w:ind w:left="183" w:leftChars="87" w:firstLine="200" w:firstLineChars="100"/>
        <w:jc w:val="left"/>
        <w:textAlignment w:val="auto"/>
        <w:rPr>
          <w:rFonts w:hint="eastAsia" w:ascii="宋体" w:hAnsi="宋体" w:eastAsia="宋体" w:cs="宋体"/>
          <w:bCs/>
          <w:sz w:val="20"/>
          <w:szCs w:val="20"/>
        </w:rPr>
      </w:pPr>
      <w:r>
        <w:rPr>
          <w:rFonts w:hint="eastAsia" w:ascii="宋体" w:hAnsi="宋体" w:eastAsia="宋体" w:cs="宋体"/>
          <w:bCs/>
          <w:sz w:val="20"/>
          <w:szCs w:val="20"/>
          <w:u w:val="single"/>
          <w:lang w:eastAsia="zh-CN"/>
        </w:rPr>
        <w:t>项目</w:t>
      </w:r>
      <w:r>
        <w:rPr>
          <w:rFonts w:hint="eastAsia" w:ascii="宋体" w:hAnsi="宋体" w:eastAsia="宋体" w:cs="宋体"/>
          <w:bCs/>
          <w:sz w:val="20"/>
          <w:szCs w:val="20"/>
          <w:u w:val="single"/>
          <w:lang w:val="en-US" w:eastAsia="zh-CN"/>
        </w:rPr>
        <w:t>名称</w:t>
      </w:r>
      <w:r>
        <w:rPr>
          <w:rFonts w:hint="eastAsia" w:ascii="宋体" w:hAnsi="宋体" w:eastAsia="宋体" w:cs="宋体"/>
          <w:bCs/>
          <w:sz w:val="20"/>
          <w:szCs w:val="20"/>
          <w:u w:val="single"/>
        </w:rPr>
        <w:t>(项目编号：)</w:t>
      </w:r>
      <w:r>
        <w:rPr>
          <w:rFonts w:hint="eastAsia" w:ascii="宋体" w:hAnsi="宋体" w:eastAsia="宋体" w:cs="宋体"/>
          <w:bCs/>
          <w:sz w:val="20"/>
          <w:szCs w:val="20"/>
        </w:rPr>
        <w:t>，由</w:t>
      </w:r>
      <w:r>
        <w:rPr>
          <w:rFonts w:hint="eastAsia" w:ascii="宋体" w:hAnsi="宋体" w:eastAsia="宋体" w:cs="宋体"/>
          <w:bCs/>
          <w:sz w:val="20"/>
          <w:szCs w:val="20"/>
          <w:lang w:val="en-US" w:eastAsia="zh-CN"/>
        </w:rPr>
        <w:t>陕西中贤项目管理</w:t>
      </w:r>
      <w:r>
        <w:rPr>
          <w:rFonts w:hint="eastAsia" w:ascii="宋体" w:hAnsi="宋体" w:eastAsia="宋体" w:cs="宋体"/>
          <w:bCs/>
          <w:sz w:val="20"/>
          <w:szCs w:val="20"/>
        </w:rPr>
        <w:t>有限公司组织</w:t>
      </w:r>
      <w:r>
        <w:rPr>
          <w:rFonts w:hint="eastAsia" w:ascii="宋体" w:hAnsi="宋体" w:eastAsia="宋体" w:cs="宋体"/>
          <w:bCs/>
          <w:sz w:val="20"/>
          <w:szCs w:val="20"/>
          <w:lang w:val="en-US" w:eastAsia="zh-CN"/>
        </w:rPr>
        <w:t>竞争性磋商</w:t>
      </w:r>
      <w:r>
        <w:rPr>
          <w:rFonts w:hint="eastAsia" w:ascii="宋体" w:hAnsi="宋体" w:eastAsia="宋体" w:cs="宋体"/>
          <w:bCs/>
          <w:sz w:val="20"/>
          <w:szCs w:val="20"/>
        </w:rPr>
        <w:t>，</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(以下简称“甲方”)确定</w:t>
      </w:r>
      <w:r>
        <w:rPr>
          <w:rFonts w:hint="eastAsia" w:ascii="宋体" w:hAnsi="宋体" w:eastAsia="宋体" w:cs="宋体"/>
          <w:bCs/>
          <w:sz w:val="20"/>
          <w:szCs w:val="20"/>
          <w:u w:val="single"/>
        </w:rPr>
        <w:t xml:space="preserve">        </w:t>
      </w:r>
      <w:r>
        <w:rPr>
          <w:rFonts w:hint="eastAsia" w:ascii="宋体" w:hAnsi="宋体" w:eastAsia="宋体" w:cs="宋体"/>
          <w:bCs/>
          <w:sz w:val="20"/>
          <w:szCs w:val="20"/>
          <w:u w:val="single"/>
          <w:lang w:val="en-US" w:eastAsia="zh-CN"/>
        </w:rPr>
        <w:t xml:space="preserve">    </w:t>
      </w:r>
      <w:r>
        <w:rPr>
          <w:rFonts w:hint="eastAsia" w:ascii="宋体" w:hAnsi="宋体" w:eastAsia="宋体" w:cs="宋体"/>
          <w:bCs/>
          <w:sz w:val="20"/>
          <w:szCs w:val="20"/>
        </w:rPr>
        <w:t>（以下简称“乙方”）为该项目的</w:t>
      </w:r>
      <w:r>
        <w:rPr>
          <w:rFonts w:hint="eastAsia" w:ascii="宋体" w:hAnsi="宋体" w:eastAsia="宋体" w:cs="宋体"/>
          <w:bCs/>
          <w:sz w:val="20"/>
          <w:szCs w:val="20"/>
          <w:lang w:val="en-US" w:eastAsia="zh-CN"/>
        </w:rPr>
        <w:t>成交</w:t>
      </w:r>
      <w:r>
        <w:rPr>
          <w:rFonts w:hint="eastAsia" w:ascii="宋体" w:hAnsi="宋体" w:eastAsia="宋体" w:cs="宋体"/>
          <w:bCs/>
          <w:sz w:val="20"/>
          <w:szCs w:val="20"/>
        </w:rPr>
        <w:t>人。</w:t>
      </w:r>
    </w:p>
    <w:p w14:paraId="2A460CEE">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依据《中华人民共和国民法典》和《中华人民共和国政府采购法》之规定，经双方在平等、自愿、互利的基础上，签订本合同，共同信守。</w:t>
      </w:r>
    </w:p>
    <w:p w14:paraId="055A079B">
      <w:pPr>
        <w:keepNext w:val="0"/>
        <w:keepLines w:val="0"/>
        <w:pageBreakBefore w:val="0"/>
        <w:widowControl w:val="0"/>
        <w:kinsoku/>
        <w:overflowPunct/>
        <w:topLinePunct w:val="0"/>
        <w:autoSpaceDE w:val="0"/>
        <w:autoSpaceDN w:val="0"/>
        <w:bidi w:val="0"/>
        <w:adjustRightInd w:val="0"/>
        <w:snapToGrid w:val="0"/>
        <w:spacing w:line="480" w:lineRule="exact"/>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一、合同价款</w:t>
      </w:r>
    </w:p>
    <w:p w14:paraId="0CF471B5">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（一）合同价款为人民币（大写）</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w:t>
      </w:r>
      <w:r>
        <w:rPr>
          <w:rFonts w:hint="eastAsia" w:ascii="宋体" w:hAnsi="宋体" w:eastAsia="宋体" w:cs="宋体"/>
          <w:bCs/>
          <w:sz w:val="20"/>
          <w:szCs w:val="20"/>
          <w:lang w:val="en-US" w:eastAsia="zh-CN"/>
        </w:rPr>
        <w:t>¥</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w:t>
      </w:r>
    </w:p>
    <w:p w14:paraId="5336C196">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（二）合同价款包括但不限于</w:t>
      </w:r>
      <w:r>
        <w:rPr>
          <w:rFonts w:hint="eastAsia" w:ascii="宋体" w:hAnsi="宋体" w:eastAsia="宋体" w:cs="宋体"/>
          <w:bCs/>
          <w:sz w:val="20"/>
          <w:szCs w:val="20"/>
          <w:highlight w:val="none"/>
          <w:lang w:val="en-US" w:eastAsia="zh-CN"/>
        </w:rPr>
        <w:t>人工费</w:t>
      </w:r>
      <w:r>
        <w:rPr>
          <w:rFonts w:hint="eastAsia" w:ascii="宋体" w:hAnsi="宋体" w:eastAsia="宋体" w:cs="宋体"/>
          <w:bCs/>
          <w:sz w:val="20"/>
          <w:szCs w:val="20"/>
          <w:highlight w:val="none"/>
          <w:lang w:val="zh-CN"/>
        </w:rPr>
        <w:t>、</w:t>
      </w:r>
      <w:r>
        <w:rPr>
          <w:rFonts w:hint="eastAsia" w:ascii="宋体" w:hAnsi="宋体" w:eastAsia="宋体" w:cs="宋体"/>
          <w:bCs/>
          <w:sz w:val="20"/>
          <w:szCs w:val="20"/>
          <w:highlight w:val="none"/>
          <w:lang w:val="en-US" w:eastAsia="zh-CN"/>
        </w:rPr>
        <w:t>项目运营</w:t>
      </w:r>
      <w:r>
        <w:rPr>
          <w:rFonts w:hint="eastAsia" w:ascii="宋体" w:hAnsi="宋体" w:eastAsia="宋体" w:cs="宋体"/>
          <w:bCs/>
          <w:sz w:val="20"/>
          <w:szCs w:val="20"/>
          <w:highlight w:val="none"/>
          <w:lang w:val="zh-CN"/>
        </w:rPr>
        <w:t>费、培训费、管理费、</w:t>
      </w:r>
      <w:r>
        <w:rPr>
          <w:rFonts w:hint="eastAsia" w:ascii="宋体" w:hAnsi="宋体" w:eastAsia="宋体" w:cs="宋体"/>
          <w:bCs/>
          <w:sz w:val="20"/>
          <w:szCs w:val="20"/>
          <w:highlight w:val="none"/>
        </w:rPr>
        <w:t>不可预见费用、</w:t>
      </w:r>
      <w:r>
        <w:rPr>
          <w:rFonts w:hint="eastAsia" w:ascii="宋体" w:hAnsi="宋体" w:eastAsia="宋体" w:cs="宋体"/>
          <w:bCs/>
          <w:sz w:val="20"/>
          <w:szCs w:val="20"/>
          <w:highlight w:val="none"/>
          <w:lang w:val="zh-CN"/>
        </w:rPr>
        <w:t>直接费、间接费、利润、税金及其他相关的一切费用。</w:t>
      </w:r>
    </w:p>
    <w:p w14:paraId="11A1E2FA">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（三）合同价款一次性包死，不受市场价格变化因素的影响。</w:t>
      </w:r>
    </w:p>
    <w:p w14:paraId="3C697DEB">
      <w:pPr>
        <w:keepNext w:val="0"/>
        <w:keepLines w:val="0"/>
        <w:widowControl/>
        <w:numPr>
          <w:ilvl w:val="0"/>
          <w:numId w:val="0"/>
        </w:numPr>
        <w:suppressLineNumbers w:val="0"/>
        <w:pBdr>
          <w:left w:val="none" w:color="auto" w:sz="0" w:space="0"/>
        </w:pBdr>
        <w:spacing w:before="0" w:beforeAutospacing="0" w:after="0" w:afterAutospacing="0" w:line="240" w:lineRule="auto"/>
        <w:ind w:left="0" w:leftChars="0" w:firstLine="402" w:firstLineChars="200"/>
        <w:rPr>
          <w:rFonts w:hint="eastAsia" w:ascii="宋体" w:hAnsi="宋体" w:eastAsia="宋体" w:cs="宋体"/>
          <w:sz w:val="20"/>
          <w:szCs w:val="20"/>
        </w:rPr>
      </w:pPr>
      <w:r>
        <w:rPr>
          <w:rFonts w:hint="eastAsia" w:ascii="宋体" w:hAnsi="宋体" w:eastAsia="宋体" w:cs="宋体"/>
          <w:b/>
          <w:bCs/>
          <w:color w:val="auto"/>
          <w:sz w:val="20"/>
          <w:szCs w:val="20"/>
        </w:rPr>
        <w:t>二、</w:t>
      </w:r>
      <w:r>
        <w:rPr>
          <w:rFonts w:hint="eastAsia" w:ascii="宋体" w:hAnsi="宋体" w:eastAsia="宋体" w:cs="宋体"/>
          <w:b/>
          <w:bCs/>
          <w:color w:val="auto"/>
          <w:sz w:val="20"/>
          <w:szCs w:val="20"/>
          <w:lang w:val="en-US" w:eastAsia="zh-CN"/>
        </w:rPr>
        <w:t>服务</w:t>
      </w:r>
      <w:r>
        <w:rPr>
          <w:rFonts w:hint="eastAsia" w:ascii="宋体" w:hAnsi="宋体" w:eastAsia="宋体" w:cs="宋体"/>
          <w:b/>
          <w:bCs/>
          <w:color w:val="auto"/>
          <w:sz w:val="20"/>
          <w:szCs w:val="20"/>
        </w:rPr>
        <w:t>工作内容：</w:t>
      </w:r>
      <w:r>
        <w:rPr>
          <w:rFonts w:hint="eastAsia" w:ascii="宋体" w:hAnsi="宋体" w:eastAsia="宋体" w:cs="宋体"/>
          <w:b/>
          <w:bCs/>
          <w:color w:val="auto"/>
          <w:sz w:val="20"/>
          <w:szCs w:val="20"/>
          <w:u w:val="single"/>
          <w:lang w:val="en-US"/>
        </w:rPr>
        <w:t>详见</w:t>
      </w:r>
      <w:r>
        <w:rPr>
          <w:rFonts w:hint="eastAsia" w:ascii="宋体" w:hAnsi="宋体" w:eastAsia="宋体" w:cs="宋体"/>
          <w:b/>
          <w:bCs/>
          <w:color w:val="auto"/>
          <w:sz w:val="20"/>
          <w:szCs w:val="20"/>
          <w:u w:val="single"/>
          <w:lang w:val="en-US" w:eastAsia="zh-CN"/>
        </w:rPr>
        <w:t>竞争性磋商文件。</w:t>
      </w:r>
    </w:p>
    <w:p w14:paraId="0B393ABE">
      <w:pPr>
        <w:keepNext w:val="0"/>
        <w:keepLines w:val="0"/>
        <w:pageBreakBefore w:val="0"/>
        <w:widowControl w:val="0"/>
        <w:kinsoku/>
        <w:overflowPunct/>
        <w:topLinePunct w:val="0"/>
        <w:autoSpaceDE w:val="0"/>
        <w:autoSpaceDN w:val="0"/>
        <w:bidi w:val="0"/>
        <w:adjustRightInd w:val="0"/>
        <w:snapToGrid w:val="0"/>
        <w:spacing w:beforeAutospacing="0" w:afterAutospacing="0" w:line="240" w:lineRule="auto"/>
        <w:ind w:left="0" w:firstLine="402" w:firstLineChars="200"/>
        <w:textAlignment w:val="auto"/>
        <w:rPr>
          <w:rFonts w:hint="eastAsia" w:ascii="宋体" w:hAnsi="宋体" w:eastAsia="宋体" w:cs="宋体"/>
          <w:b/>
          <w:bCs/>
          <w:sz w:val="20"/>
          <w:szCs w:val="20"/>
          <w:lang w:eastAsia="zh-CN"/>
        </w:rPr>
      </w:pPr>
      <w:r>
        <w:rPr>
          <w:rFonts w:hint="eastAsia" w:ascii="宋体" w:hAnsi="宋体" w:eastAsia="宋体" w:cs="宋体"/>
          <w:b/>
          <w:bCs/>
          <w:sz w:val="20"/>
          <w:szCs w:val="20"/>
        </w:rPr>
        <w:t>三、款项结算</w:t>
      </w:r>
      <w:r>
        <w:rPr>
          <w:rFonts w:hint="eastAsia" w:ascii="宋体" w:hAnsi="宋体" w:eastAsia="宋体" w:cs="宋体"/>
          <w:b/>
          <w:bCs/>
          <w:sz w:val="20"/>
          <w:szCs w:val="20"/>
          <w:lang w:eastAsia="zh-CN"/>
        </w:rPr>
        <w:t>：</w:t>
      </w:r>
      <w:r>
        <w:rPr>
          <w:rFonts w:hint="eastAsia" w:ascii="宋体" w:hAnsi="宋体" w:eastAsia="宋体" w:cs="宋体"/>
          <w:bCs/>
          <w:sz w:val="20"/>
          <w:szCs w:val="20"/>
          <w:lang w:val="en-US" w:eastAsia="zh-CN"/>
        </w:rPr>
        <w:t>本项目预付合同总价款的4%，以后每3个月期满付款一次，每次支付合同价的8%，乙方开具合规发票后，甲方于1个月内支付当次款项。</w:t>
      </w:r>
    </w:p>
    <w:p w14:paraId="08475FD1">
      <w:pPr>
        <w:keepNext w:val="0"/>
        <w:keepLines w:val="0"/>
        <w:pageBreakBefore w:val="0"/>
        <w:widowControl w:val="0"/>
        <w:kinsoku/>
        <w:overflowPunct/>
        <w:topLinePunct w:val="0"/>
        <w:autoSpaceDE w:val="0"/>
        <w:autoSpaceDN w:val="0"/>
        <w:bidi w:val="0"/>
        <w:adjustRightInd w:val="0"/>
        <w:snapToGrid w:val="0"/>
        <w:spacing w:line="480" w:lineRule="exact"/>
        <w:ind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四、服务地点及服务期</w:t>
      </w:r>
    </w:p>
    <w:p w14:paraId="60BED6AC">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highlight w:val="none"/>
        </w:rPr>
      </w:pPr>
      <w:r>
        <w:rPr>
          <w:rFonts w:hint="eastAsia" w:ascii="宋体" w:hAnsi="宋体" w:eastAsia="宋体" w:cs="宋体"/>
          <w:bCs/>
          <w:sz w:val="20"/>
          <w:szCs w:val="20"/>
          <w:highlight w:val="none"/>
        </w:rPr>
        <w:t>（一）服务地点：甲方指定地点。</w:t>
      </w:r>
    </w:p>
    <w:p w14:paraId="40A2C02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400" w:firstLineChars="200"/>
        <w:textAlignment w:val="baseline"/>
        <w:rPr>
          <w:rFonts w:hint="eastAsia" w:ascii="宋体" w:hAnsi="宋体" w:eastAsia="宋体" w:cs="宋体"/>
          <w:sz w:val="20"/>
          <w:szCs w:val="20"/>
          <w:highlight w:val="yellow"/>
        </w:rPr>
      </w:pPr>
      <w:r>
        <w:rPr>
          <w:rFonts w:hint="eastAsia" w:ascii="宋体" w:hAnsi="宋体" w:eastAsia="宋体" w:cs="宋体"/>
          <w:bCs/>
          <w:sz w:val="20"/>
          <w:szCs w:val="20"/>
          <w:highlight w:val="none"/>
        </w:rPr>
        <w:t>（二）服务期：</w:t>
      </w:r>
      <w:r>
        <w:rPr>
          <w:rFonts w:hint="eastAsia" w:ascii="宋体" w:hAnsi="宋体" w:eastAsia="宋体" w:cs="宋体"/>
          <w:sz w:val="20"/>
          <w:szCs w:val="20"/>
          <w:highlight w:val="none"/>
          <w:lang w:val="en-US" w:eastAsia="zh-Hans"/>
        </w:rPr>
        <w:t>自</w:t>
      </w:r>
      <w:r>
        <w:rPr>
          <w:rFonts w:hint="eastAsia" w:ascii="宋体" w:hAnsi="宋体" w:eastAsia="宋体" w:cs="宋体"/>
          <w:sz w:val="20"/>
          <w:szCs w:val="20"/>
          <w:highlight w:val="none"/>
          <w:u w:val="single"/>
          <w:lang w:eastAsia="zh-Hans"/>
        </w:rPr>
        <w:t xml:space="preserve"> </w:t>
      </w:r>
      <w:r>
        <w:rPr>
          <w:rFonts w:hint="eastAsia" w:ascii="宋体" w:hAnsi="宋体" w:eastAsia="宋体" w:cs="宋体"/>
          <w:sz w:val="20"/>
          <w:szCs w:val="20"/>
          <w:u w:val="single"/>
          <w:lang w:eastAsia="zh-Hans"/>
        </w:rPr>
        <w:t xml:space="preserve">  </w:t>
      </w:r>
      <w:r>
        <w:rPr>
          <w:rFonts w:hint="eastAsia" w:ascii="宋体" w:hAnsi="宋体" w:eastAsia="宋体" w:cs="宋体"/>
          <w:sz w:val="20"/>
          <w:szCs w:val="20"/>
          <w:lang w:val="en-US" w:eastAsia="zh-Hans"/>
        </w:rPr>
        <w:t>年</w:t>
      </w:r>
      <w:r>
        <w:rPr>
          <w:rFonts w:hint="eastAsia" w:ascii="宋体" w:hAnsi="宋体" w:eastAsia="宋体" w:cs="宋体"/>
          <w:sz w:val="20"/>
          <w:szCs w:val="20"/>
          <w:u w:val="single"/>
          <w:lang w:eastAsia="zh-Hans"/>
        </w:rPr>
        <w:t xml:space="preserve">   </w:t>
      </w:r>
      <w:r>
        <w:rPr>
          <w:rFonts w:hint="eastAsia" w:ascii="宋体" w:hAnsi="宋体" w:eastAsia="宋体" w:cs="宋体"/>
          <w:sz w:val="20"/>
          <w:szCs w:val="20"/>
          <w:lang w:val="en-US" w:eastAsia="zh-Hans"/>
        </w:rPr>
        <w:t xml:space="preserve">月 </w:t>
      </w:r>
      <w:r>
        <w:rPr>
          <w:rFonts w:hint="eastAsia" w:ascii="宋体" w:hAnsi="宋体" w:eastAsia="宋体" w:cs="宋体"/>
          <w:sz w:val="20"/>
          <w:szCs w:val="20"/>
          <w:u w:val="single"/>
          <w:lang w:eastAsia="zh-Hans"/>
        </w:rPr>
        <w:t xml:space="preserve">   </w:t>
      </w:r>
      <w:r>
        <w:rPr>
          <w:rFonts w:hint="eastAsia" w:ascii="宋体" w:hAnsi="宋体" w:eastAsia="宋体" w:cs="宋体"/>
          <w:sz w:val="20"/>
          <w:szCs w:val="20"/>
          <w:lang w:val="en-US" w:eastAsia="zh-Hans"/>
        </w:rPr>
        <w:t>日至</w:t>
      </w:r>
      <w:r>
        <w:rPr>
          <w:rFonts w:hint="eastAsia" w:ascii="宋体" w:hAnsi="宋体" w:eastAsia="宋体" w:cs="宋体"/>
          <w:sz w:val="20"/>
          <w:szCs w:val="20"/>
          <w:u w:val="single"/>
          <w:lang w:eastAsia="zh-Hans"/>
        </w:rPr>
        <w:t xml:space="preserve">   </w:t>
      </w:r>
      <w:r>
        <w:rPr>
          <w:rFonts w:hint="eastAsia" w:ascii="宋体" w:hAnsi="宋体" w:eastAsia="宋体" w:cs="宋体"/>
          <w:sz w:val="20"/>
          <w:szCs w:val="20"/>
          <w:lang w:val="en-US" w:eastAsia="zh-Hans"/>
        </w:rPr>
        <w:t>年</w:t>
      </w:r>
      <w:r>
        <w:rPr>
          <w:rFonts w:hint="eastAsia" w:ascii="宋体" w:hAnsi="宋体" w:eastAsia="宋体" w:cs="宋体"/>
          <w:sz w:val="20"/>
          <w:szCs w:val="20"/>
          <w:u w:val="single"/>
          <w:lang w:eastAsia="zh-Hans"/>
        </w:rPr>
        <w:t xml:space="preserve">   </w:t>
      </w:r>
      <w:r>
        <w:rPr>
          <w:rFonts w:hint="eastAsia" w:ascii="宋体" w:hAnsi="宋体" w:eastAsia="宋体" w:cs="宋体"/>
          <w:sz w:val="20"/>
          <w:szCs w:val="20"/>
          <w:lang w:val="en-US" w:eastAsia="zh-Hans"/>
        </w:rPr>
        <w:t xml:space="preserve">月 </w:t>
      </w:r>
      <w:r>
        <w:rPr>
          <w:rFonts w:hint="eastAsia" w:ascii="宋体" w:hAnsi="宋体" w:eastAsia="宋体" w:cs="宋体"/>
          <w:sz w:val="20"/>
          <w:szCs w:val="20"/>
          <w:u w:val="single"/>
          <w:lang w:eastAsia="zh-Hans"/>
        </w:rPr>
        <w:t xml:space="preserve">   </w:t>
      </w:r>
      <w:r>
        <w:rPr>
          <w:rFonts w:hint="eastAsia" w:ascii="宋体" w:hAnsi="宋体" w:eastAsia="宋体" w:cs="宋体"/>
          <w:sz w:val="20"/>
          <w:szCs w:val="20"/>
          <w:lang w:val="en-US" w:eastAsia="zh-Hans"/>
        </w:rPr>
        <w:t>日。</w:t>
      </w:r>
    </w:p>
    <w:p w14:paraId="3F2760D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right="0" w:rightChars="0" w:firstLine="402" w:firstLineChars="200"/>
        <w:textAlignment w:val="baseline"/>
        <w:rPr>
          <w:rFonts w:hint="eastAsia" w:ascii="宋体" w:hAnsi="宋体" w:eastAsia="宋体" w:cs="宋体"/>
          <w:b/>
          <w:bCs/>
          <w:sz w:val="20"/>
          <w:szCs w:val="20"/>
          <w:lang w:val="en-US" w:eastAsia="zh-Hans"/>
        </w:rPr>
      </w:pPr>
      <w:r>
        <w:rPr>
          <w:rFonts w:hint="eastAsia" w:ascii="宋体" w:hAnsi="宋体" w:eastAsia="宋体" w:cs="宋体"/>
          <w:b/>
          <w:bCs/>
          <w:sz w:val="20"/>
          <w:szCs w:val="20"/>
          <w:lang w:val="en-US" w:eastAsia="zh-CN"/>
        </w:rPr>
        <w:t>五、</w:t>
      </w:r>
      <w:r>
        <w:rPr>
          <w:rFonts w:hint="eastAsia" w:ascii="宋体" w:hAnsi="宋体" w:eastAsia="宋体" w:cs="宋体"/>
          <w:b/>
          <w:bCs/>
          <w:sz w:val="20"/>
          <w:szCs w:val="20"/>
          <w:lang w:val="en-US" w:eastAsia="zh-Hans"/>
        </w:rPr>
        <w:t>维保工作计划</w:t>
      </w:r>
    </w:p>
    <w:p w14:paraId="00B3523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400" w:firstLineChars="2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eastAsia="zh-Hans"/>
        </w:rPr>
        <w:t>1、</w:t>
      </w:r>
      <w:r>
        <w:rPr>
          <w:rFonts w:hint="eastAsia" w:ascii="宋体" w:hAnsi="宋体" w:eastAsia="宋体" w:cs="宋体"/>
          <w:sz w:val="20"/>
          <w:szCs w:val="20"/>
          <w:lang w:val="en-US" w:eastAsia="zh-Hans"/>
        </w:rPr>
        <w:t>乙方按甲方要求每年度进行四次定期维护保养（即每季度一次），确保设备的正常运转。每次定期维护保养后甲乙双方确认维护保养记录，且乙方向甲方提交维护保养报告。</w:t>
      </w:r>
    </w:p>
    <w:p w14:paraId="40E119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right="0" w:rightChars="0" w:firstLine="400" w:firstLineChars="2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eastAsia="zh-Hans"/>
        </w:rPr>
        <w:t>2、</w:t>
      </w:r>
      <w:r>
        <w:rPr>
          <w:rFonts w:hint="eastAsia" w:ascii="宋体" w:hAnsi="宋体" w:eastAsia="宋体" w:cs="宋体"/>
          <w:sz w:val="20"/>
          <w:szCs w:val="20"/>
          <w:lang w:val="en-US" w:eastAsia="zh-Hans"/>
        </w:rPr>
        <w:t>在定期维护保养工作之外，如发生设备故障，乙方应安排技术人员24小时内做出专业技术支持响应及必要时现场技术维修。</w:t>
      </w:r>
    </w:p>
    <w:p w14:paraId="475F2DC9">
      <w:pPr>
        <w:keepNext w:val="0"/>
        <w:keepLines w:val="0"/>
        <w:pageBreakBefore w:val="0"/>
        <w:widowControl w:val="0"/>
        <w:kinsoku/>
        <w:overflowPunct/>
        <w:topLinePunct w:val="0"/>
        <w:autoSpaceDE w:val="0"/>
        <w:autoSpaceDN w:val="0"/>
        <w:bidi w:val="0"/>
        <w:adjustRightInd w:val="0"/>
        <w:snapToGrid w:val="0"/>
        <w:spacing w:line="480" w:lineRule="exact"/>
        <w:ind w:firstLine="402" w:firstLineChars="200"/>
        <w:textAlignment w:val="auto"/>
        <w:rPr>
          <w:rFonts w:hint="eastAsia" w:ascii="宋体" w:hAnsi="宋体" w:eastAsia="宋体" w:cs="宋体"/>
          <w:b/>
          <w:bCs/>
          <w:sz w:val="20"/>
          <w:szCs w:val="20"/>
          <w:highlight w:val="none"/>
          <w:lang w:val="en-US" w:eastAsia="zh-Hans"/>
        </w:rPr>
      </w:pPr>
      <w:r>
        <w:rPr>
          <w:rFonts w:hint="eastAsia" w:ascii="宋体" w:hAnsi="宋体" w:eastAsia="宋体" w:cs="宋体"/>
          <w:b/>
          <w:bCs/>
          <w:sz w:val="20"/>
          <w:szCs w:val="20"/>
          <w:highlight w:val="none"/>
          <w:lang w:val="en-US" w:eastAsia="zh-CN"/>
        </w:rPr>
        <w:t>六、</w:t>
      </w:r>
      <w:r>
        <w:rPr>
          <w:rFonts w:hint="eastAsia" w:ascii="宋体" w:hAnsi="宋体" w:eastAsia="宋体" w:cs="宋体"/>
          <w:b/>
          <w:bCs/>
          <w:sz w:val="20"/>
          <w:szCs w:val="20"/>
          <w:highlight w:val="none"/>
          <w:lang w:val="en-US" w:eastAsia="zh-Hans"/>
        </w:rPr>
        <w:t>备件提供与质量保证</w:t>
      </w:r>
    </w:p>
    <w:p w14:paraId="0511C67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0" w:leftChars="0" w:right="0" w:rightChars="0" w:firstLine="400" w:firstLineChars="200"/>
        <w:textAlignment w:val="baseline"/>
        <w:rPr>
          <w:rFonts w:hint="eastAsia" w:ascii="宋体" w:hAnsi="宋体" w:eastAsia="宋体" w:cs="宋体"/>
          <w:sz w:val="20"/>
          <w:szCs w:val="20"/>
          <w:lang w:val="en-US" w:eastAsia="zh-Hans"/>
        </w:rPr>
      </w:pPr>
      <w:r>
        <w:rPr>
          <w:rFonts w:hint="eastAsia" w:ascii="宋体" w:hAnsi="宋体" w:eastAsia="宋体" w:cs="宋体"/>
          <w:kern w:val="2"/>
          <w:sz w:val="20"/>
          <w:szCs w:val="20"/>
          <w:lang w:val="en-US" w:eastAsia="zh-Hans" w:bidi="ar-SA"/>
        </w:rPr>
        <w:t>1、</w:t>
      </w:r>
      <w:r>
        <w:rPr>
          <w:rFonts w:hint="eastAsia" w:ascii="宋体" w:hAnsi="宋体" w:eastAsia="宋体" w:cs="宋体"/>
          <w:sz w:val="20"/>
          <w:szCs w:val="20"/>
          <w:lang w:val="en-US" w:eastAsia="zh-Hans"/>
        </w:rPr>
        <w:t>维护保养中所需备件由乙方提供，且备件按照原制造商使用技术标准执行。</w:t>
      </w:r>
    </w:p>
    <w:p w14:paraId="60FCA64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0" w:leftChars="0" w:right="0" w:rightChars="0" w:firstLine="400" w:firstLineChars="2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Hans"/>
        </w:rPr>
        <w:t>2、乙方所提供的维护保养服务质量达到国家及行业标准且满足制造商的技术服务规范。</w:t>
      </w:r>
    </w:p>
    <w:p w14:paraId="5938897A">
      <w:pPr>
        <w:keepNext w:val="0"/>
        <w:keepLines w:val="0"/>
        <w:pageBreakBefore w:val="0"/>
        <w:widowControl w:val="0"/>
        <w:kinsoku/>
        <w:overflowPunct/>
        <w:topLinePunct w:val="0"/>
        <w:autoSpaceDE w:val="0"/>
        <w:autoSpaceDN w:val="0"/>
        <w:bidi w:val="0"/>
        <w:adjustRightInd w:val="0"/>
        <w:snapToGrid w:val="0"/>
        <w:spacing w:line="480" w:lineRule="exact"/>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lang w:val="en-US" w:eastAsia="zh-CN"/>
        </w:rPr>
        <w:t>七</w:t>
      </w:r>
      <w:r>
        <w:rPr>
          <w:rFonts w:hint="eastAsia" w:ascii="宋体" w:hAnsi="宋体" w:eastAsia="宋体" w:cs="宋体"/>
          <w:b/>
          <w:bCs/>
          <w:sz w:val="20"/>
          <w:szCs w:val="20"/>
        </w:rPr>
        <w:t>、双方的权利和义务</w:t>
      </w:r>
    </w:p>
    <w:p w14:paraId="4FB6C1BC">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（一）甲方的权利与义务</w:t>
      </w:r>
    </w:p>
    <w:p w14:paraId="057287F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1、</w:t>
      </w:r>
      <w:r>
        <w:rPr>
          <w:rFonts w:hint="eastAsia" w:ascii="宋体" w:hAnsi="宋体" w:eastAsia="宋体" w:cs="宋体"/>
          <w:sz w:val="20"/>
          <w:szCs w:val="20"/>
          <w:lang w:val="en-US" w:eastAsia="zh-Hans"/>
        </w:rPr>
        <w:t>有权对乙方的服务质量进行监督和检查，提出合理的意见和建议。</w:t>
      </w:r>
    </w:p>
    <w:p w14:paraId="4761DBD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2、</w:t>
      </w:r>
      <w:r>
        <w:rPr>
          <w:rFonts w:hint="eastAsia" w:ascii="宋体" w:hAnsi="宋体" w:eastAsia="宋体" w:cs="宋体"/>
          <w:sz w:val="20"/>
          <w:szCs w:val="20"/>
          <w:lang w:val="en-US" w:eastAsia="zh-Hans"/>
        </w:rPr>
        <w:t>按照本合同约定及时支付服务费用。</w:t>
      </w:r>
    </w:p>
    <w:p w14:paraId="7B1945F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3、</w:t>
      </w:r>
      <w:r>
        <w:rPr>
          <w:rFonts w:hint="eastAsia" w:ascii="宋体" w:hAnsi="宋体" w:eastAsia="宋体" w:cs="宋体"/>
          <w:sz w:val="20"/>
          <w:szCs w:val="20"/>
          <w:lang w:val="en-US" w:eastAsia="zh-Hans"/>
        </w:rPr>
        <w:t>为乙方提供必要的工作条件和相关资料，协助乙方开展工作，包括但不限于提供锅炉的技术资料、设备图纸、运行记录等。</w:t>
      </w:r>
    </w:p>
    <w:p w14:paraId="4B01CD5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4、</w:t>
      </w:r>
      <w:r>
        <w:rPr>
          <w:rFonts w:hint="eastAsia" w:ascii="宋体" w:hAnsi="宋体" w:eastAsia="宋体" w:cs="宋体"/>
          <w:sz w:val="20"/>
          <w:szCs w:val="20"/>
          <w:lang w:val="en-US" w:eastAsia="zh-Hans"/>
        </w:rPr>
        <w:t>协调医院内部各部门，配合乙方完成锅炉的管理、运行与维护工作。</w:t>
      </w:r>
    </w:p>
    <w:p w14:paraId="6A2972C9">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lang w:val="en-US" w:eastAsia="zh-Hans"/>
        </w:rPr>
      </w:pPr>
      <w:r>
        <w:rPr>
          <w:rFonts w:hint="eastAsia" w:ascii="宋体" w:hAnsi="宋体" w:eastAsia="宋体" w:cs="宋体"/>
          <w:bCs/>
          <w:sz w:val="20"/>
          <w:szCs w:val="20"/>
        </w:rPr>
        <w:t>（二）乙方的权利与义务</w:t>
      </w:r>
    </w:p>
    <w:p w14:paraId="25B1CC6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1、</w:t>
      </w:r>
      <w:r>
        <w:rPr>
          <w:rFonts w:hint="eastAsia" w:ascii="宋体" w:hAnsi="宋体" w:eastAsia="宋体" w:cs="宋体"/>
          <w:sz w:val="20"/>
          <w:szCs w:val="20"/>
          <w:lang w:val="en-US" w:eastAsia="zh-Hans"/>
        </w:rPr>
        <w:t>有权要求甲方按照合同约定支付服务费用。</w:t>
      </w:r>
    </w:p>
    <w:p w14:paraId="42F38CF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2、</w:t>
      </w:r>
      <w:r>
        <w:rPr>
          <w:rFonts w:hint="eastAsia" w:ascii="宋体" w:hAnsi="宋体" w:eastAsia="宋体" w:cs="宋体"/>
          <w:sz w:val="20"/>
          <w:szCs w:val="20"/>
          <w:lang w:val="en-US" w:eastAsia="zh-Hans"/>
        </w:rPr>
        <w:t>按照国家相关法律法规、行业标准以及本合同的约定，认真履行锅炉管理、运行与维护职责，确保锅炉安全、稳定、高效运行。</w:t>
      </w:r>
    </w:p>
    <w:p w14:paraId="08D9619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3、</w:t>
      </w:r>
      <w:r>
        <w:rPr>
          <w:rFonts w:hint="eastAsia" w:ascii="宋体" w:hAnsi="宋体" w:eastAsia="宋体" w:cs="宋体"/>
          <w:sz w:val="20"/>
          <w:szCs w:val="20"/>
          <w:lang w:val="en-US" w:eastAsia="zh-Hans"/>
        </w:rPr>
        <w:t>定期向甲方报告锅炉的运行状况、维护情况以及存在的问题和解决方案。</w:t>
      </w:r>
    </w:p>
    <w:p w14:paraId="244CFC9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4、</w:t>
      </w:r>
      <w:r>
        <w:rPr>
          <w:rFonts w:hint="eastAsia" w:ascii="宋体" w:hAnsi="宋体" w:eastAsia="宋体" w:cs="宋体"/>
          <w:sz w:val="20"/>
          <w:szCs w:val="20"/>
          <w:lang w:val="en-US" w:eastAsia="zh-Hans"/>
        </w:rPr>
        <w:t>在服务期间，如发现锅炉存在安全隐患或故障，应及时通知甲方，并采取有效措施进行处理，确保锅炉安全5。</w:t>
      </w:r>
    </w:p>
    <w:p w14:paraId="7C9E11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CN"/>
        </w:rPr>
        <w:t>5、</w:t>
      </w:r>
      <w:r>
        <w:rPr>
          <w:rFonts w:hint="eastAsia" w:ascii="宋体" w:hAnsi="宋体" w:eastAsia="宋体" w:cs="宋体"/>
          <w:sz w:val="20"/>
          <w:szCs w:val="20"/>
          <w:lang w:val="en-US" w:eastAsia="zh-Hans"/>
        </w:rPr>
        <w:t>遵守甲方医院的相关规章制度，爱护医院的设施设备，保持工作场所的整洁卫生。</w:t>
      </w:r>
    </w:p>
    <w:p w14:paraId="336FD26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40" w:lineRule="exact"/>
        <w:ind w:leftChars="0" w:right="0" w:rightChars="0" w:firstLine="600" w:firstLineChars="300"/>
        <w:textAlignment w:val="baseline"/>
        <w:rPr>
          <w:rFonts w:hint="eastAsia" w:ascii="宋体" w:hAnsi="宋体" w:eastAsia="宋体" w:cs="宋体"/>
          <w:bCs/>
          <w:sz w:val="20"/>
          <w:szCs w:val="20"/>
          <w:lang w:val="en-US" w:eastAsia="zh-Hans"/>
        </w:rPr>
      </w:pPr>
      <w:r>
        <w:rPr>
          <w:rFonts w:hint="eastAsia" w:ascii="宋体" w:hAnsi="宋体" w:eastAsia="宋体" w:cs="宋体"/>
          <w:sz w:val="20"/>
          <w:szCs w:val="20"/>
          <w:lang w:val="en-US" w:eastAsia="zh-CN"/>
        </w:rPr>
        <w:t>6、</w:t>
      </w:r>
      <w:r>
        <w:rPr>
          <w:rFonts w:hint="eastAsia" w:ascii="宋体" w:hAnsi="宋体" w:eastAsia="宋体" w:cs="宋体"/>
          <w:sz w:val="20"/>
          <w:szCs w:val="20"/>
          <w:lang w:val="en-US" w:eastAsia="zh-Hans"/>
        </w:rPr>
        <w:t>对在服务过程中知悉的甲方医院的商业秘密、技术秘密和患者信息等予以保密，不得向任何第三方泄露。</w:t>
      </w:r>
    </w:p>
    <w:p w14:paraId="76F45BB0">
      <w:pPr>
        <w:keepNext w:val="0"/>
        <w:keepLines w:val="0"/>
        <w:pageBreakBefore w:val="0"/>
        <w:widowControl w:val="0"/>
        <w:kinsoku/>
        <w:overflowPunct/>
        <w:topLinePunct w:val="0"/>
        <w:bidi w:val="0"/>
        <w:spacing w:line="480" w:lineRule="exact"/>
        <w:ind w:firstLine="201" w:firstLineChars="100"/>
        <w:textAlignment w:val="auto"/>
        <w:rPr>
          <w:rFonts w:hint="eastAsia" w:ascii="宋体" w:hAnsi="宋体" w:eastAsia="宋体" w:cs="宋体"/>
          <w:b/>
          <w:sz w:val="20"/>
          <w:szCs w:val="20"/>
          <w:lang w:eastAsia="zh-CN"/>
        </w:rPr>
      </w:pPr>
      <w:r>
        <w:rPr>
          <w:rFonts w:hint="eastAsia" w:ascii="宋体" w:hAnsi="宋体" w:eastAsia="宋体" w:cs="宋体"/>
          <w:b/>
          <w:sz w:val="20"/>
          <w:szCs w:val="20"/>
          <w:lang w:val="en-US" w:eastAsia="zh-CN"/>
        </w:rPr>
        <w:t>八</w:t>
      </w:r>
      <w:r>
        <w:rPr>
          <w:rFonts w:hint="eastAsia" w:ascii="宋体" w:hAnsi="宋体" w:eastAsia="宋体" w:cs="宋体"/>
          <w:b/>
          <w:sz w:val="20"/>
          <w:szCs w:val="20"/>
        </w:rPr>
        <w:t>、保密</w:t>
      </w:r>
      <w:r>
        <w:rPr>
          <w:rFonts w:hint="eastAsia" w:ascii="宋体" w:hAnsi="宋体" w:eastAsia="宋体" w:cs="宋体"/>
          <w:b/>
          <w:sz w:val="20"/>
          <w:szCs w:val="20"/>
          <w:lang w:val="en-US" w:eastAsia="zh-CN"/>
        </w:rPr>
        <w:t>规定</w:t>
      </w:r>
    </w:p>
    <w:p w14:paraId="356F90C4">
      <w:pPr>
        <w:keepNext w:val="0"/>
        <w:keepLines w:val="0"/>
        <w:pageBreakBefore w:val="0"/>
        <w:widowControl w:val="0"/>
        <w:kinsoku/>
        <w:wordWrap w:val="0"/>
        <w:overflowPunct/>
        <w:topLinePunct w:val="0"/>
        <w:autoSpaceDE/>
        <w:autoSpaceDN/>
        <w:bidi w:val="0"/>
        <w:adjustRightInd/>
        <w:snapToGrid/>
        <w:spacing w:line="480" w:lineRule="exact"/>
        <w:ind w:firstLine="400" w:firstLineChars="200"/>
        <w:jc w:val="left"/>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r>
        <w:rPr>
          <w:rFonts w:hint="eastAsia" w:ascii="宋体" w:hAnsi="宋体" w:eastAsia="宋体" w:cs="宋体"/>
          <w:sz w:val="20"/>
          <w:szCs w:val="20"/>
          <w:lang w:val="en-US" w:eastAsia="zh-CN"/>
        </w:rPr>
        <w:t xml:space="preserve">    </w:t>
      </w:r>
    </w:p>
    <w:p w14:paraId="7E7E5CD9">
      <w:pPr>
        <w:keepNext w:val="0"/>
        <w:keepLines w:val="0"/>
        <w:pageBreakBefore w:val="0"/>
        <w:widowControl w:val="0"/>
        <w:kinsoku/>
        <w:wordWrap w:val="0"/>
        <w:overflowPunct/>
        <w:topLinePunct w:val="0"/>
        <w:autoSpaceDE/>
        <w:autoSpaceDN/>
        <w:bidi w:val="0"/>
        <w:adjustRightInd/>
        <w:snapToGrid/>
        <w:spacing w:line="480" w:lineRule="exact"/>
        <w:ind w:firstLine="402" w:firstLineChars="200"/>
        <w:jc w:val="left"/>
        <w:textAlignment w:val="auto"/>
        <w:rPr>
          <w:rFonts w:hint="eastAsia" w:ascii="宋体" w:hAnsi="宋体" w:eastAsia="宋体" w:cs="宋体"/>
          <w:b/>
          <w:sz w:val="20"/>
          <w:szCs w:val="20"/>
        </w:rPr>
      </w:pPr>
      <w:r>
        <w:rPr>
          <w:rFonts w:hint="eastAsia" w:ascii="宋体" w:hAnsi="宋体" w:eastAsia="宋体" w:cs="宋体"/>
          <w:b/>
          <w:bCs/>
          <w:sz w:val="20"/>
          <w:szCs w:val="20"/>
          <w:lang w:val="en-US" w:eastAsia="zh-CN"/>
        </w:rPr>
        <w:t>九</w:t>
      </w:r>
      <w:r>
        <w:rPr>
          <w:rFonts w:hint="eastAsia" w:ascii="宋体" w:hAnsi="宋体" w:eastAsia="宋体" w:cs="宋体"/>
          <w:b/>
          <w:sz w:val="20"/>
          <w:szCs w:val="20"/>
        </w:rPr>
        <w:t>、其他事项</w:t>
      </w:r>
    </w:p>
    <w:p w14:paraId="3AE289FC">
      <w:pPr>
        <w:keepNext w:val="0"/>
        <w:keepLines w:val="0"/>
        <w:pageBreakBefore w:val="0"/>
        <w:widowControl w:val="0"/>
        <w:kinsoku/>
        <w:overflowPunct/>
        <w:topLinePunct w:val="0"/>
        <w:bidi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（一）乙方不得</w:t>
      </w:r>
      <w:r>
        <w:rPr>
          <w:rFonts w:hint="eastAsia" w:ascii="宋体" w:hAnsi="宋体" w:eastAsia="宋体" w:cs="宋体"/>
          <w:bCs/>
          <w:sz w:val="20"/>
          <w:szCs w:val="20"/>
          <w:lang w:val="en-US" w:eastAsia="zh-CN"/>
        </w:rPr>
        <w:t>将合同</w:t>
      </w:r>
      <w:r>
        <w:rPr>
          <w:rFonts w:hint="eastAsia" w:ascii="宋体" w:hAnsi="宋体" w:eastAsia="宋体" w:cs="宋体"/>
          <w:bCs/>
          <w:sz w:val="20"/>
          <w:szCs w:val="20"/>
        </w:rPr>
        <w:t>转让给其它单位或个人。</w:t>
      </w:r>
    </w:p>
    <w:p w14:paraId="605B82A6">
      <w:pPr>
        <w:keepNext w:val="0"/>
        <w:keepLines w:val="0"/>
        <w:pageBreakBefore w:val="0"/>
        <w:widowControl w:val="0"/>
        <w:kinsoku/>
        <w:overflowPunct/>
        <w:topLinePunct w:val="0"/>
        <w:bidi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（二）乙方的</w:t>
      </w:r>
      <w:r>
        <w:rPr>
          <w:rFonts w:hint="eastAsia" w:ascii="宋体" w:hAnsi="宋体" w:eastAsia="宋体" w:cs="宋体"/>
          <w:bCs/>
          <w:sz w:val="20"/>
          <w:szCs w:val="20"/>
          <w:lang w:val="en-US" w:eastAsia="zh-CN"/>
        </w:rPr>
        <w:t>响应</w:t>
      </w:r>
      <w:r>
        <w:rPr>
          <w:rFonts w:hint="eastAsia" w:ascii="宋体" w:hAnsi="宋体" w:eastAsia="宋体" w:cs="宋体"/>
          <w:bCs/>
          <w:sz w:val="20"/>
          <w:szCs w:val="20"/>
        </w:rPr>
        <w:t>文件和承诺等内容将列入合同。</w:t>
      </w:r>
    </w:p>
    <w:p w14:paraId="1A5C06F2">
      <w:pPr>
        <w:keepNext w:val="0"/>
        <w:keepLines w:val="0"/>
        <w:pageBreakBefore w:val="0"/>
        <w:widowControl w:val="0"/>
        <w:kinsoku/>
        <w:overflowPunct/>
        <w:topLinePunct w:val="0"/>
        <w:autoSpaceDE w:val="0"/>
        <w:autoSpaceDN w:val="0"/>
        <w:bidi w:val="0"/>
        <w:adjustRightInd w:val="0"/>
        <w:snapToGrid w:val="0"/>
        <w:spacing w:line="480" w:lineRule="exact"/>
        <w:ind w:firstLine="402" w:firstLineChars="200"/>
        <w:textAlignment w:val="auto"/>
        <w:rPr>
          <w:rFonts w:hint="eastAsia" w:ascii="宋体" w:hAnsi="宋体" w:eastAsia="宋体" w:cs="宋体"/>
          <w:b/>
          <w:sz w:val="20"/>
          <w:szCs w:val="20"/>
        </w:rPr>
      </w:pPr>
      <w:r>
        <w:rPr>
          <w:rFonts w:hint="eastAsia" w:ascii="宋体" w:hAnsi="宋体" w:eastAsia="宋体" w:cs="宋体"/>
          <w:b/>
          <w:sz w:val="20"/>
          <w:szCs w:val="20"/>
          <w:lang w:val="en-US" w:eastAsia="zh-CN"/>
        </w:rPr>
        <w:t>十</w:t>
      </w:r>
      <w:r>
        <w:rPr>
          <w:rFonts w:hint="eastAsia" w:ascii="宋体" w:hAnsi="宋体" w:eastAsia="宋体" w:cs="宋体"/>
          <w:b/>
          <w:sz w:val="20"/>
          <w:szCs w:val="20"/>
        </w:rPr>
        <w:t>、违约责任</w:t>
      </w:r>
    </w:p>
    <w:p w14:paraId="5E821835">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（一）按《中华人民共和国</w:t>
      </w:r>
      <w:r>
        <w:rPr>
          <w:rFonts w:hint="eastAsia" w:ascii="宋体" w:hAnsi="宋体" w:eastAsia="宋体" w:cs="宋体"/>
          <w:bCs/>
          <w:sz w:val="20"/>
          <w:szCs w:val="20"/>
          <w:lang w:eastAsia="zh-CN"/>
        </w:rPr>
        <w:t>民法典</w:t>
      </w:r>
      <w:r>
        <w:rPr>
          <w:rFonts w:hint="eastAsia" w:ascii="宋体" w:hAnsi="宋体" w:eastAsia="宋体" w:cs="宋体"/>
          <w:bCs/>
          <w:sz w:val="20"/>
          <w:szCs w:val="20"/>
        </w:rPr>
        <w:t>》中的相关条款执行。</w:t>
      </w:r>
    </w:p>
    <w:p w14:paraId="7F3AA0A4">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（二）未按合同要求提供服务</w:t>
      </w:r>
      <w:r>
        <w:rPr>
          <w:rFonts w:hint="eastAsia" w:ascii="宋体" w:hAnsi="宋体" w:eastAsia="宋体" w:cs="宋体"/>
          <w:bCs/>
          <w:sz w:val="20"/>
          <w:szCs w:val="20"/>
          <w:lang w:val="en-US" w:eastAsia="zh-CN"/>
        </w:rPr>
        <w:t>或</w:t>
      </w:r>
      <w:r>
        <w:rPr>
          <w:rFonts w:hint="eastAsia" w:ascii="宋体" w:hAnsi="宋体" w:eastAsia="宋体" w:cs="宋体"/>
          <w:bCs/>
          <w:sz w:val="20"/>
          <w:szCs w:val="20"/>
        </w:rPr>
        <w:t>服务质量不能满足本次招标要求，甲方会同监督机构、采购代理机构有权终止合同和对乙方违约行为进行追究，同时按政府采购法的有关规定进行相应的处罚。</w:t>
      </w:r>
    </w:p>
    <w:p w14:paraId="20AAE179">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lang w:eastAsia="zh-Hans"/>
        </w:rPr>
      </w:pPr>
      <w:r>
        <w:rPr>
          <w:rFonts w:hint="eastAsia" w:ascii="宋体" w:hAnsi="宋体" w:eastAsia="宋体" w:cs="宋体"/>
          <w:bCs/>
          <w:sz w:val="20"/>
          <w:szCs w:val="20"/>
          <w:lang w:eastAsia="zh-CN"/>
        </w:rPr>
        <w:t>（</w:t>
      </w:r>
      <w:r>
        <w:rPr>
          <w:rFonts w:hint="eastAsia" w:ascii="宋体" w:hAnsi="宋体" w:eastAsia="宋体" w:cs="宋体"/>
          <w:bCs/>
          <w:sz w:val="20"/>
          <w:szCs w:val="20"/>
          <w:lang w:val="en-US" w:eastAsia="zh-CN"/>
        </w:rPr>
        <w:t>三</w:t>
      </w:r>
      <w:r>
        <w:rPr>
          <w:rFonts w:hint="eastAsia" w:ascii="宋体" w:hAnsi="宋体" w:eastAsia="宋体" w:cs="宋体"/>
          <w:bCs/>
          <w:sz w:val="20"/>
          <w:szCs w:val="20"/>
          <w:lang w:eastAsia="zh-CN"/>
        </w:rPr>
        <w:t>）</w:t>
      </w:r>
      <w:r>
        <w:rPr>
          <w:rFonts w:hint="eastAsia" w:ascii="宋体" w:hAnsi="宋体" w:eastAsia="宋体" w:cs="宋体"/>
          <w:bCs/>
          <w:sz w:val="20"/>
          <w:szCs w:val="20"/>
          <w:lang w:eastAsia="zh-Hans"/>
        </w:rPr>
        <w:t>如乙方不能按照双方约定的时间进行维护保养，除甲乙双方共同确认不可控因素外，乙方</w:t>
      </w:r>
      <w:r>
        <w:rPr>
          <w:rFonts w:hint="eastAsia" w:ascii="宋体" w:hAnsi="宋体" w:eastAsia="宋体" w:cs="宋体"/>
          <w:bCs/>
          <w:sz w:val="20"/>
          <w:szCs w:val="20"/>
          <w:lang w:val="en-US" w:eastAsia="zh-Hans"/>
        </w:rPr>
        <w:t>迟延</w:t>
      </w:r>
      <w:r>
        <w:rPr>
          <w:rFonts w:hint="eastAsia" w:ascii="宋体" w:hAnsi="宋体" w:eastAsia="宋体" w:cs="宋体"/>
          <w:bCs/>
          <w:sz w:val="20"/>
          <w:szCs w:val="20"/>
          <w:lang w:eastAsia="zh-Hans"/>
        </w:rPr>
        <w:t>完成</w:t>
      </w:r>
      <w:r>
        <w:rPr>
          <w:rFonts w:hint="eastAsia" w:ascii="宋体" w:hAnsi="宋体" w:eastAsia="宋体" w:cs="宋体"/>
          <w:bCs/>
          <w:sz w:val="20"/>
          <w:szCs w:val="20"/>
          <w:lang w:val="en-US" w:eastAsia="zh-Hans"/>
        </w:rPr>
        <w:t>维保</w:t>
      </w:r>
      <w:r>
        <w:rPr>
          <w:rFonts w:hint="eastAsia" w:ascii="宋体" w:hAnsi="宋体" w:eastAsia="宋体" w:cs="宋体"/>
          <w:bCs/>
          <w:sz w:val="20"/>
          <w:szCs w:val="20"/>
          <w:lang w:eastAsia="zh-Hans"/>
        </w:rPr>
        <w:t>工作</w:t>
      </w:r>
      <w:r>
        <w:rPr>
          <w:rFonts w:hint="eastAsia" w:ascii="宋体" w:hAnsi="宋体" w:eastAsia="宋体" w:cs="宋体"/>
          <w:bCs/>
          <w:sz w:val="20"/>
          <w:szCs w:val="20"/>
          <w:lang w:val="en-US" w:eastAsia="zh-Hans"/>
        </w:rPr>
        <w:t>的</w:t>
      </w:r>
      <w:r>
        <w:rPr>
          <w:rFonts w:hint="eastAsia" w:ascii="宋体" w:hAnsi="宋体" w:eastAsia="宋体" w:cs="宋体"/>
          <w:bCs/>
          <w:sz w:val="20"/>
          <w:szCs w:val="20"/>
          <w:lang w:eastAsia="zh-Hans"/>
        </w:rPr>
        <w:t>，每逾期一</w:t>
      </w:r>
      <w:r>
        <w:rPr>
          <w:rFonts w:hint="eastAsia" w:ascii="宋体" w:hAnsi="宋体" w:eastAsia="宋体" w:cs="宋体"/>
          <w:bCs/>
          <w:sz w:val="20"/>
          <w:szCs w:val="20"/>
          <w:lang w:val="en-US" w:eastAsia="zh-Hans"/>
        </w:rPr>
        <w:t>日</w:t>
      </w:r>
      <w:r>
        <w:rPr>
          <w:rFonts w:hint="eastAsia" w:ascii="宋体" w:hAnsi="宋体" w:eastAsia="宋体" w:cs="宋体"/>
          <w:bCs/>
          <w:sz w:val="20"/>
          <w:szCs w:val="20"/>
          <w:lang w:eastAsia="zh-Hans"/>
        </w:rPr>
        <w:t>，应当向甲方支付相当于合同</w:t>
      </w:r>
      <w:r>
        <w:rPr>
          <w:rFonts w:hint="eastAsia" w:ascii="宋体" w:hAnsi="宋体" w:eastAsia="宋体" w:cs="宋体"/>
          <w:bCs/>
          <w:sz w:val="20"/>
          <w:szCs w:val="20"/>
          <w:lang w:val="en-US" w:eastAsia="zh-Hans"/>
        </w:rPr>
        <w:t>价</w:t>
      </w:r>
      <w:r>
        <w:rPr>
          <w:rFonts w:hint="eastAsia" w:ascii="宋体" w:hAnsi="宋体" w:eastAsia="宋体" w:cs="宋体"/>
          <w:bCs/>
          <w:sz w:val="20"/>
          <w:szCs w:val="20"/>
          <w:lang w:eastAsia="zh-Hans"/>
        </w:rPr>
        <w:t>款0.1%的</w:t>
      </w:r>
      <w:r>
        <w:rPr>
          <w:rFonts w:hint="eastAsia" w:ascii="宋体" w:hAnsi="宋体" w:eastAsia="宋体" w:cs="宋体"/>
          <w:bCs/>
          <w:sz w:val="20"/>
          <w:szCs w:val="20"/>
          <w:lang w:val="en-US" w:eastAsia="zh-Hans"/>
        </w:rPr>
        <w:t>违约金</w:t>
      </w:r>
      <w:r>
        <w:rPr>
          <w:rFonts w:hint="eastAsia" w:ascii="宋体" w:hAnsi="宋体" w:eastAsia="宋体" w:cs="宋体"/>
          <w:bCs/>
          <w:sz w:val="20"/>
          <w:szCs w:val="20"/>
          <w:lang w:eastAsia="zh-Hans"/>
        </w:rPr>
        <w:t>。</w:t>
      </w:r>
      <w:r>
        <w:rPr>
          <w:rFonts w:hint="eastAsia" w:ascii="宋体" w:hAnsi="宋体" w:eastAsia="宋体" w:cs="宋体"/>
          <w:bCs/>
          <w:sz w:val="20"/>
          <w:szCs w:val="20"/>
          <w:lang w:val="en-US" w:eastAsia="zh-Hans"/>
        </w:rPr>
        <w:t>乙方迟延超过</w:t>
      </w:r>
      <w:r>
        <w:rPr>
          <w:rFonts w:hint="eastAsia" w:ascii="宋体" w:hAnsi="宋体" w:eastAsia="宋体" w:cs="宋体"/>
          <w:bCs/>
          <w:sz w:val="20"/>
          <w:szCs w:val="20"/>
          <w:lang w:eastAsia="zh-Hans"/>
        </w:rPr>
        <w:t>15</w:t>
      </w:r>
      <w:r>
        <w:rPr>
          <w:rFonts w:hint="eastAsia" w:ascii="宋体" w:hAnsi="宋体" w:eastAsia="宋体" w:cs="宋体"/>
          <w:bCs/>
          <w:sz w:val="20"/>
          <w:szCs w:val="20"/>
          <w:lang w:val="en-US" w:eastAsia="zh-Hans"/>
        </w:rPr>
        <w:t>日的，</w:t>
      </w:r>
      <w:r>
        <w:rPr>
          <w:rFonts w:hint="eastAsia" w:ascii="宋体" w:hAnsi="宋体" w:eastAsia="宋体" w:cs="宋体"/>
          <w:bCs/>
          <w:sz w:val="20"/>
          <w:szCs w:val="20"/>
          <w:lang w:eastAsia="zh-Hans"/>
        </w:rPr>
        <w:t>甲方有权解除合同。</w:t>
      </w:r>
    </w:p>
    <w:p w14:paraId="73144993">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lang w:eastAsia="zh-Hans"/>
        </w:rPr>
      </w:pPr>
      <w:r>
        <w:rPr>
          <w:rFonts w:hint="eastAsia" w:ascii="宋体" w:hAnsi="宋体" w:eastAsia="宋体" w:cs="宋体"/>
          <w:bCs/>
          <w:sz w:val="20"/>
          <w:szCs w:val="20"/>
          <w:lang w:eastAsia="zh-CN"/>
        </w:rPr>
        <w:t>（</w:t>
      </w:r>
      <w:r>
        <w:rPr>
          <w:rFonts w:hint="eastAsia" w:ascii="宋体" w:hAnsi="宋体" w:eastAsia="宋体" w:cs="宋体"/>
          <w:bCs/>
          <w:sz w:val="20"/>
          <w:szCs w:val="20"/>
          <w:lang w:val="en-US" w:eastAsia="zh-CN"/>
        </w:rPr>
        <w:t>四</w:t>
      </w:r>
      <w:r>
        <w:rPr>
          <w:rFonts w:hint="eastAsia" w:ascii="宋体" w:hAnsi="宋体" w:eastAsia="宋体" w:cs="宋体"/>
          <w:bCs/>
          <w:sz w:val="20"/>
          <w:szCs w:val="20"/>
          <w:lang w:eastAsia="zh-CN"/>
        </w:rPr>
        <w:t>）</w:t>
      </w:r>
      <w:r>
        <w:rPr>
          <w:rFonts w:hint="eastAsia" w:ascii="宋体" w:hAnsi="宋体" w:eastAsia="宋体" w:cs="宋体"/>
          <w:bCs/>
          <w:sz w:val="20"/>
          <w:szCs w:val="20"/>
          <w:lang w:eastAsia="zh-Hans"/>
        </w:rPr>
        <w:t>若由于乙方</w:t>
      </w:r>
      <w:r>
        <w:rPr>
          <w:rFonts w:hint="eastAsia" w:ascii="宋体" w:hAnsi="宋体" w:eastAsia="宋体" w:cs="宋体"/>
          <w:bCs/>
          <w:sz w:val="20"/>
          <w:szCs w:val="20"/>
          <w:lang w:val="en-US" w:eastAsia="zh-Hans"/>
        </w:rPr>
        <w:t>维保</w:t>
      </w:r>
      <w:r>
        <w:rPr>
          <w:rFonts w:hint="eastAsia" w:ascii="宋体" w:hAnsi="宋体" w:eastAsia="宋体" w:cs="宋体"/>
          <w:bCs/>
          <w:sz w:val="20"/>
          <w:szCs w:val="20"/>
          <w:lang w:eastAsia="zh-Hans"/>
        </w:rPr>
        <w:t>质量原因造成返工，所造成的损失由乙方承担。</w:t>
      </w:r>
    </w:p>
    <w:p w14:paraId="0E90B9E3">
      <w:pPr>
        <w:keepNext w:val="0"/>
        <w:keepLines w:val="0"/>
        <w:pageBreakBefore w:val="0"/>
        <w:widowControl w:val="0"/>
        <w:kinsoku/>
        <w:overflowPunct/>
        <w:topLinePunct w:val="0"/>
        <w:autoSpaceDE w:val="0"/>
        <w:autoSpaceDN w:val="0"/>
        <w:bidi w:val="0"/>
        <w:adjustRightInd w:val="0"/>
        <w:snapToGrid w:val="0"/>
        <w:spacing w:line="480" w:lineRule="exact"/>
        <w:ind w:firstLine="402" w:firstLineChars="200"/>
        <w:textAlignment w:val="auto"/>
        <w:rPr>
          <w:rFonts w:hint="eastAsia" w:ascii="宋体" w:hAnsi="宋体" w:eastAsia="宋体" w:cs="宋体"/>
          <w:b/>
          <w:sz w:val="20"/>
          <w:szCs w:val="20"/>
        </w:rPr>
      </w:pPr>
      <w:r>
        <w:rPr>
          <w:rFonts w:hint="eastAsia" w:ascii="宋体" w:hAnsi="宋体" w:eastAsia="宋体" w:cs="宋体"/>
          <w:b/>
          <w:sz w:val="20"/>
          <w:szCs w:val="20"/>
          <w:lang w:val="en-US" w:eastAsia="zh-CN"/>
        </w:rPr>
        <w:t>十一</w:t>
      </w:r>
      <w:r>
        <w:rPr>
          <w:rFonts w:hint="eastAsia" w:ascii="宋体" w:hAnsi="宋体" w:eastAsia="宋体" w:cs="宋体"/>
          <w:b/>
          <w:sz w:val="20"/>
          <w:szCs w:val="20"/>
        </w:rPr>
        <w:t>、合同争议解决的方式</w:t>
      </w:r>
    </w:p>
    <w:p w14:paraId="60644EDA">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本合同在履行过程中发生的争议，由甲、乙双方当事人协商解决，协商不成的按下列第</w:t>
      </w:r>
      <w:r>
        <w:rPr>
          <w:rFonts w:hint="eastAsia" w:ascii="宋体" w:hAnsi="宋体" w:eastAsia="宋体" w:cs="宋体"/>
          <w:bCs/>
          <w:sz w:val="20"/>
          <w:szCs w:val="20"/>
          <w:u w:val="single"/>
        </w:rPr>
        <w:t>（二）</w:t>
      </w:r>
      <w:r>
        <w:rPr>
          <w:rFonts w:hint="eastAsia" w:ascii="宋体" w:hAnsi="宋体" w:eastAsia="宋体" w:cs="宋体"/>
          <w:bCs/>
          <w:sz w:val="20"/>
          <w:szCs w:val="20"/>
        </w:rPr>
        <w:t>种方式解决：</w:t>
      </w:r>
    </w:p>
    <w:p w14:paraId="28EA3247">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（一）提交西安仲裁委员会仲裁；</w:t>
      </w:r>
    </w:p>
    <w:p w14:paraId="12197669">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（二）依法向甲方所在地人民法院起诉。</w:t>
      </w:r>
    </w:p>
    <w:p w14:paraId="693A3472">
      <w:pPr>
        <w:keepNext w:val="0"/>
        <w:keepLines w:val="0"/>
        <w:pageBreakBefore w:val="0"/>
        <w:widowControl w:val="0"/>
        <w:kinsoku/>
        <w:overflowPunct/>
        <w:topLinePunct w:val="0"/>
        <w:autoSpaceDE w:val="0"/>
        <w:autoSpaceDN w:val="0"/>
        <w:bidi w:val="0"/>
        <w:adjustRightInd w:val="0"/>
        <w:snapToGrid w:val="0"/>
        <w:spacing w:line="480" w:lineRule="exact"/>
        <w:ind w:firstLine="402" w:firstLineChars="200"/>
        <w:textAlignment w:val="auto"/>
        <w:rPr>
          <w:rFonts w:hint="eastAsia" w:ascii="宋体" w:hAnsi="宋体" w:eastAsia="宋体" w:cs="宋体"/>
          <w:b/>
          <w:sz w:val="20"/>
          <w:szCs w:val="20"/>
        </w:rPr>
      </w:pPr>
      <w:r>
        <w:rPr>
          <w:rFonts w:hint="eastAsia" w:ascii="宋体" w:hAnsi="宋体" w:eastAsia="宋体" w:cs="宋体"/>
          <w:b/>
          <w:sz w:val="20"/>
          <w:szCs w:val="20"/>
          <w:lang w:val="en-US" w:eastAsia="zh-CN"/>
        </w:rPr>
        <w:t>十二、</w:t>
      </w:r>
      <w:r>
        <w:rPr>
          <w:rFonts w:hint="eastAsia" w:ascii="宋体" w:hAnsi="宋体" w:eastAsia="宋体" w:cs="宋体"/>
          <w:b/>
          <w:sz w:val="20"/>
          <w:szCs w:val="20"/>
        </w:rPr>
        <w:t>合同生效</w:t>
      </w:r>
    </w:p>
    <w:p w14:paraId="4B09DACD">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（一）本合同须经甲、乙双方的法定代表人（授权代表）在合同书上签字并加盖本单位公章后正式生效。</w:t>
      </w:r>
    </w:p>
    <w:p w14:paraId="5CEEF805">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（二）合同生效后，甲、乙双方须严格执行本合同条款的规定，全面履行合同，违者按《中华人民共和国民法典》的有关规定承担相应责任。</w:t>
      </w:r>
    </w:p>
    <w:p w14:paraId="1CB6F2D8">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（三）本合同一式</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份，甲乙双方各执</w:t>
      </w:r>
      <w:r>
        <w:rPr>
          <w:rFonts w:hint="eastAsia" w:ascii="宋体" w:hAnsi="宋体" w:eastAsia="宋体" w:cs="宋体"/>
          <w:bCs/>
          <w:sz w:val="20"/>
          <w:szCs w:val="20"/>
          <w:u w:val="single"/>
        </w:rPr>
        <w:t xml:space="preserve">    </w:t>
      </w:r>
      <w:r>
        <w:rPr>
          <w:rFonts w:hint="eastAsia" w:ascii="宋体" w:hAnsi="宋体" w:eastAsia="宋体" w:cs="宋体"/>
          <w:bCs/>
          <w:sz w:val="20"/>
          <w:szCs w:val="20"/>
        </w:rPr>
        <w:t>份。</w:t>
      </w:r>
    </w:p>
    <w:p w14:paraId="6518B9FC">
      <w:pPr>
        <w:keepNext w:val="0"/>
        <w:keepLines w:val="0"/>
        <w:pageBreakBefore w:val="0"/>
        <w:widowControl w:val="0"/>
        <w:kinsoku/>
        <w:overflowPunct/>
        <w:topLinePunct w:val="0"/>
        <w:autoSpaceDE w:val="0"/>
        <w:autoSpaceDN w:val="0"/>
        <w:bidi w:val="0"/>
        <w:adjustRightInd w:val="0"/>
        <w:snapToGrid w:val="0"/>
        <w:spacing w:line="480" w:lineRule="exact"/>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（四）本合同如有未尽事宜，甲、乙双方协商解决。</w:t>
      </w:r>
    </w:p>
    <w:tbl>
      <w:tblPr>
        <w:tblStyle w:val="5"/>
        <w:tblpPr w:leftFromText="180" w:rightFromText="180" w:vertAnchor="text" w:horzAnchor="page" w:tblpX="1692" w:tblpY="89"/>
        <w:tblOverlap w:val="never"/>
        <w:tblW w:w="0" w:type="auto"/>
        <w:tblInd w:w="0" w:type="dxa"/>
        <w:tblLayout w:type="fixed"/>
        <w:tblCellMar>
          <w:top w:w="0" w:type="dxa"/>
          <w:left w:w="108" w:type="dxa"/>
          <w:bottom w:w="0" w:type="dxa"/>
          <w:right w:w="108" w:type="dxa"/>
        </w:tblCellMar>
      </w:tblPr>
      <w:tblGrid>
        <w:gridCol w:w="4201"/>
        <w:gridCol w:w="4202"/>
      </w:tblGrid>
      <w:tr w14:paraId="5F1312BD">
        <w:tblPrEx>
          <w:tblCellMar>
            <w:top w:w="0" w:type="dxa"/>
            <w:left w:w="108" w:type="dxa"/>
            <w:bottom w:w="0" w:type="dxa"/>
            <w:right w:w="108" w:type="dxa"/>
          </w:tblCellMar>
        </w:tblPrEx>
        <w:trPr>
          <w:trHeight w:val="434" w:hRule="exact"/>
        </w:trPr>
        <w:tc>
          <w:tcPr>
            <w:tcW w:w="4201" w:type="dxa"/>
            <w:noWrap w:val="0"/>
            <w:vAlign w:val="center"/>
          </w:tcPr>
          <w:p w14:paraId="6849CDDE">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甲  方</w:t>
            </w:r>
          </w:p>
        </w:tc>
        <w:tc>
          <w:tcPr>
            <w:tcW w:w="4202" w:type="dxa"/>
            <w:noWrap w:val="0"/>
            <w:vAlign w:val="center"/>
          </w:tcPr>
          <w:p w14:paraId="5681EFAE">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乙  方</w:t>
            </w:r>
          </w:p>
        </w:tc>
      </w:tr>
      <w:tr w14:paraId="321619C3">
        <w:tblPrEx>
          <w:tblCellMar>
            <w:top w:w="0" w:type="dxa"/>
            <w:left w:w="108" w:type="dxa"/>
            <w:bottom w:w="0" w:type="dxa"/>
            <w:right w:w="108" w:type="dxa"/>
          </w:tblCellMar>
        </w:tblPrEx>
        <w:trPr>
          <w:trHeight w:val="417" w:hRule="exact"/>
        </w:trPr>
        <w:tc>
          <w:tcPr>
            <w:tcW w:w="4201" w:type="dxa"/>
            <w:noWrap w:val="0"/>
            <w:vAlign w:val="center"/>
          </w:tcPr>
          <w:p w14:paraId="1C4DE4E6">
            <w:pPr>
              <w:autoSpaceDE w:val="0"/>
              <w:autoSpaceDN w:val="0"/>
              <w:adjustRightInd w:val="0"/>
              <w:ind w:firstLine="560" w:firstLineChars="35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（盖章）</w:t>
            </w:r>
          </w:p>
        </w:tc>
        <w:tc>
          <w:tcPr>
            <w:tcW w:w="4202" w:type="dxa"/>
            <w:noWrap w:val="0"/>
            <w:vAlign w:val="center"/>
          </w:tcPr>
          <w:p w14:paraId="5E8430D6">
            <w:pPr>
              <w:autoSpaceDE w:val="0"/>
              <w:autoSpaceDN w:val="0"/>
              <w:adjustRightInd w:val="0"/>
              <w:ind w:firstLine="640" w:firstLineChars="40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（盖章）</w:t>
            </w:r>
          </w:p>
        </w:tc>
      </w:tr>
      <w:tr w14:paraId="4D967403">
        <w:tblPrEx>
          <w:tblCellMar>
            <w:top w:w="0" w:type="dxa"/>
            <w:left w:w="108" w:type="dxa"/>
            <w:bottom w:w="0" w:type="dxa"/>
            <w:right w:w="108" w:type="dxa"/>
          </w:tblCellMar>
        </w:tblPrEx>
        <w:trPr>
          <w:trHeight w:val="470" w:hRule="exact"/>
        </w:trPr>
        <w:tc>
          <w:tcPr>
            <w:tcW w:w="4201" w:type="dxa"/>
            <w:noWrap w:val="0"/>
            <w:vAlign w:val="center"/>
          </w:tcPr>
          <w:p w14:paraId="50BEE717">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地址：</w:t>
            </w:r>
          </w:p>
        </w:tc>
        <w:tc>
          <w:tcPr>
            <w:tcW w:w="4202" w:type="dxa"/>
            <w:noWrap w:val="0"/>
            <w:vAlign w:val="center"/>
          </w:tcPr>
          <w:p w14:paraId="5AF37AFF">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地址：</w:t>
            </w:r>
          </w:p>
        </w:tc>
      </w:tr>
      <w:tr w14:paraId="77F4FCCA">
        <w:tblPrEx>
          <w:tblCellMar>
            <w:top w:w="0" w:type="dxa"/>
            <w:left w:w="108" w:type="dxa"/>
            <w:bottom w:w="0" w:type="dxa"/>
            <w:right w:w="108" w:type="dxa"/>
          </w:tblCellMar>
        </w:tblPrEx>
        <w:trPr>
          <w:trHeight w:val="486" w:hRule="exact"/>
        </w:trPr>
        <w:tc>
          <w:tcPr>
            <w:tcW w:w="4201" w:type="dxa"/>
            <w:noWrap w:val="0"/>
            <w:vAlign w:val="center"/>
          </w:tcPr>
          <w:p w14:paraId="282931FC">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法定代表人</w:t>
            </w:r>
          </w:p>
        </w:tc>
        <w:tc>
          <w:tcPr>
            <w:tcW w:w="4202" w:type="dxa"/>
            <w:noWrap w:val="0"/>
            <w:vAlign w:val="center"/>
          </w:tcPr>
          <w:p w14:paraId="2275BF91">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法定代表人</w:t>
            </w:r>
          </w:p>
        </w:tc>
      </w:tr>
      <w:tr w14:paraId="1536876D">
        <w:tblPrEx>
          <w:tblCellMar>
            <w:top w:w="0" w:type="dxa"/>
            <w:left w:w="108" w:type="dxa"/>
            <w:bottom w:w="0" w:type="dxa"/>
            <w:right w:w="108" w:type="dxa"/>
          </w:tblCellMar>
        </w:tblPrEx>
        <w:trPr>
          <w:trHeight w:val="472" w:hRule="exact"/>
        </w:trPr>
        <w:tc>
          <w:tcPr>
            <w:tcW w:w="4201" w:type="dxa"/>
            <w:noWrap w:val="0"/>
            <w:vAlign w:val="center"/>
          </w:tcPr>
          <w:p w14:paraId="2BA3C59A">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或授权代表：</w:t>
            </w:r>
          </w:p>
        </w:tc>
        <w:tc>
          <w:tcPr>
            <w:tcW w:w="4202" w:type="dxa"/>
            <w:noWrap w:val="0"/>
            <w:vAlign w:val="center"/>
          </w:tcPr>
          <w:p w14:paraId="2799FDBB">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或授权代表：</w:t>
            </w:r>
          </w:p>
        </w:tc>
      </w:tr>
      <w:tr w14:paraId="6ABFDA5A">
        <w:tblPrEx>
          <w:tblCellMar>
            <w:top w:w="0" w:type="dxa"/>
            <w:left w:w="108" w:type="dxa"/>
            <w:bottom w:w="0" w:type="dxa"/>
            <w:right w:w="108" w:type="dxa"/>
          </w:tblCellMar>
        </w:tblPrEx>
        <w:trPr>
          <w:trHeight w:val="471" w:hRule="exact"/>
        </w:trPr>
        <w:tc>
          <w:tcPr>
            <w:tcW w:w="4201" w:type="dxa"/>
            <w:noWrap w:val="0"/>
            <w:vAlign w:val="center"/>
          </w:tcPr>
          <w:p w14:paraId="35870D6A">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电话：</w:t>
            </w:r>
          </w:p>
        </w:tc>
        <w:tc>
          <w:tcPr>
            <w:tcW w:w="4202" w:type="dxa"/>
            <w:noWrap w:val="0"/>
            <w:vAlign w:val="center"/>
          </w:tcPr>
          <w:p w14:paraId="560445D8">
            <w:pPr>
              <w:autoSpaceDE w:val="0"/>
              <w:autoSpaceDN w:val="0"/>
              <w:adjustRightInd w:val="0"/>
              <w:ind w:left="720" w:hanging="480" w:hangingChars="30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电话：</w:t>
            </w:r>
          </w:p>
        </w:tc>
      </w:tr>
      <w:tr w14:paraId="65582AE7">
        <w:tblPrEx>
          <w:tblCellMar>
            <w:top w:w="0" w:type="dxa"/>
            <w:left w:w="108" w:type="dxa"/>
            <w:bottom w:w="0" w:type="dxa"/>
            <w:right w:w="108" w:type="dxa"/>
          </w:tblCellMar>
        </w:tblPrEx>
        <w:trPr>
          <w:trHeight w:val="457" w:hRule="exact"/>
        </w:trPr>
        <w:tc>
          <w:tcPr>
            <w:tcW w:w="4201" w:type="dxa"/>
            <w:noWrap w:val="0"/>
            <w:vAlign w:val="center"/>
          </w:tcPr>
          <w:p w14:paraId="42EAA42C">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传真：</w:t>
            </w:r>
          </w:p>
        </w:tc>
        <w:tc>
          <w:tcPr>
            <w:tcW w:w="4202" w:type="dxa"/>
            <w:noWrap w:val="0"/>
            <w:vAlign w:val="center"/>
          </w:tcPr>
          <w:p w14:paraId="340E60AB">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传真：</w:t>
            </w:r>
          </w:p>
        </w:tc>
      </w:tr>
      <w:tr w14:paraId="496687D7">
        <w:tblPrEx>
          <w:tblCellMar>
            <w:top w:w="0" w:type="dxa"/>
            <w:left w:w="108" w:type="dxa"/>
            <w:bottom w:w="0" w:type="dxa"/>
            <w:right w:w="108" w:type="dxa"/>
          </w:tblCellMar>
        </w:tblPrEx>
        <w:trPr>
          <w:trHeight w:val="500" w:hRule="exact"/>
        </w:trPr>
        <w:tc>
          <w:tcPr>
            <w:tcW w:w="4201" w:type="dxa"/>
            <w:noWrap w:val="0"/>
            <w:vAlign w:val="center"/>
          </w:tcPr>
          <w:p w14:paraId="1044BABE">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开户银行：</w:t>
            </w:r>
          </w:p>
        </w:tc>
        <w:tc>
          <w:tcPr>
            <w:tcW w:w="4202" w:type="dxa"/>
            <w:noWrap w:val="0"/>
            <w:vAlign w:val="center"/>
          </w:tcPr>
          <w:p w14:paraId="27F6C7A9">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开户银行：</w:t>
            </w:r>
          </w:p>
        </w:tc>
      </w:tr>
      <w:tr w14:paraId="308FD401">
        <w:tblPrEx>
          <w:tblCellMar>
            <w:top w:w="0" w:type="dxa"/>
            <w:left w:w="108" w:type="dxa"/>
            <w:bottom w:w="0" w:type="dxa"/>
            <w:right w:w="108" w:type="dxa"/>
          </w:tblCellMar>
        </w:tblPrEx>
        <w:trPr>
          <w:trHeight w:val="500" w:hRule="exact"/>
        </w:trPr>
        <w:tc>
          <w:tcPr>
            <w:tcW w:w="4201" w:type="dxa"/>
            <w:noWrap w:val="0"/>
            <w:vAlign w:val="center"/>
          </w:tcPr>
          <w:p w14:paraId="1431AB28">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日期：</w:t>
            </w:r>
          </w:p>
        </w:tc>
        <w:tc>
          <w:tcPr>
            <w:tcW w:w="4202" w:type="dxa"/>
            <w:noWrap w:val="0"/>
            <w:vAlign w:val="center"/>
          </w:tcPr>
          <w:p w14:paraId="0E30C2BC">
            <w:pPr>
              <w:autoSpaceDE w:val="0"/>
              <w:autoSpaceDN w:val="0"/>
              <w:adjustRightInd w:val="0"/>
              <w:rPr>
                <w:rFonts w:hint="eastAsia" w:ascii="宋体" w:hAnsi="宋体" w:eastAsia="宋体" w:cs="宋体"/>
                <w:spacing w:val="-20"/>
                <w:kern w:val="0"/>
                <w:sz w:val="20"/>
                <w:szCs w:val="20"/>
              </w:rPr>
            </w:pPr>
            <w:r>
              <w:rPr>
                <w:rFonts w:hint="eastAsia" w:ascii="宋体" w:hAnsi="宋体" w:eastAsia="宋体" w:cs="宋体"/>
                <w:spacing w:val="-20"/>
                <w:kern w:val="0"/>
                <w:sz w:val="20"/>
                <w:szCs w:val="20"/>
              </w:rPr>
              <w:t>日期：</w:t>
            </w:r>
          </w:p>
        </w:tc>
      </w:tr>
    </w:tbl>
    <w:p w14:paraId="473AE0F7">
      <w:pPr>
        <w:pStyle w:val="7"/>
        <w:rPr>
          <w:rFonts w:hint="eastAsia" w:ascii="宋体" w:hAnsi="宋体" w:eastAsia="宋体" w:cs="宋体"/>
          <w:sz w:val="20"/>
          <w:szCs w:val="20"/>
        </w:rPr>
      </w:pPr>
    </w:p>
    <w:p w14:paraId="2ACCE87C">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365A3">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8F066">
                          <w:pPr>
                            <w:pStyle w:val="4"/>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88F066">
                    <w:pPr>
                      <w:pStyle w:val="4"/>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sdt>
      <w:sdtPr>
        <w:id w:val="-1041200653"/>
      </w:sdtPr>
      <w:sdtContent/>
    </w:sdt>
  </w:p>
  <w:p w14:paraId="625D1DA8">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60FCF"/>
    <w:rsid w:val="7BF60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TML Address"/>
    <w:basedOn w:val="1"/>
    <w:qFormat/>
    <w:uiPriority w:val="0"/>
    <w:rPr>
      <w:i/>
    </w:rPr>
  </w:style>
  <w:style w:type="paragraph" w:styleId="3">
    <w:name w:val="Body Text Indent 2"/>
    <w:basedOn w:val="1"/>
    <w:qFormat/>
    <w:uiPriority w:val="0"/>
    <w:pPr>
      <w:spacing w:after="120" w:afterLines="0" w:line="480" w:lineRule="auto"/>
      <w:ind w:left="420" w:leftChars="200"/>
    </w:pPr>
  </w:style>
  <w:style w:type="paragraph" w:styleId="4">
    <w:name w:val="footer"/>
    <w:basedOn w:val="1"/>
    <w:next w:val="2"/>
    <w:unhideWhenUsed/>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2025-10-24T02:55:00Z</dcterms:created>
  <dc:creator>...</dc:creator>
  <cp:lastModifiedBy>...</cp:lastModifiedBy>
  <dcterms:modified xsi:type="dcterms:W3CDTF">2025-10-24T02:55:33Z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FA27EECB33834F8AB51D2D3E73EEB4FF_11</vt:lpwstr>
  </property>
  <property fmtid="{D5CDD505-2E9C-101B-9397-08002B2CF9AE}" pid="4" name="KSOTemplateDocerSaveRecord">
    <vt:lpwstr>eyJoZGlkIjoiYWUxNWYwYzZjMjY0NDljZTJlZmM1NTFiMTAwZWU0ZDIiLCJ1c2VySWQiOiI5NDkyODkwNDUifQ==</vt:lpwstr>
  </property>
</Properties>
</file>